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41C8" w:rsidRPr="00EC44E2" w:rsidRDefault="000441C8" w:rsidP="000441C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65F91"/>
          <w:sz w:val="28"/>
          <w:szCs w:val="28"/>
          <w:lang w:val="uk-UA" w:eastAsia="ru-RU"/>
        </w:rPr>
      </w:pPr>
      <w:r w:rsidRPr="00EC44E2">
        <w:rPr>
          <w:rFonts w:ascii="Times New Roman" w:eastAsia="Calibri" w:hAnsi="Times New Roman" w:cs="Times New Roman"/>
          <w:b/>
          <w:color w:val="365F91"/>
          <w:sz w:val="28"/>
          <w:szCs w:val="28"/>
          <w:lang w:val="uk-UA" w:eastAsia="ru-RU"/>
        </w:rPr>
        <w:t xml:space="preserve">Підсумки </w:t>
      </w:r>
    </w:p>
    <w:p w:rsidR="000441C8" w:rsidRPr="00EC44E2" w:rsidRDefault="000441C8" w:rsidP="000441C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65F91"/>
          <w:sz w:val="28"/>
          <w:szCs w:val="28"/>
          <w:lang w:val="uk-UA" w:eastAsia="ru-RU"/>
        </w:rPr>
      </w:pPr>
      <w:r w:rsidRPr="00EC44E2">
        <w:rPr>
          <w:rFonts w:ascii="Times New Roman" w:eastAsia="Calibri" w:hAnsi="Times New Roman" w:cs="Times New Roman"/>
          <w:b/>
          <w:color w:val="365F91"/>
          <w:sz w:val="28"/>
          <w:szCs w:val="28"/>
          <w:lang w:val="uk-UA" w:eastAsia="ru-RU"/>
        </w:rPr>
        <w:t xml:space="preserve">епідемічного сезону грипу та </w:t>
      </w:r>
      <w:r w:rsidRPr="00EC44E2">
        <w:rPr>
          <w:rFonts w:ascii="Times New Roman" w:eastAsia="Calibri" w:hAnsi="Times New Roman" w:cs="Times New Roman"/>
          <w:b/>
          <w:color w:val="365F91"/>
          <w:sz w:val="28"/>
          <w:szCs w:val="28"/>
          <w:lang w:val="en-US" w:eastAsia="ru-RU"/>
        </w:rPr>
        <w:t>COVID</w:t>
      </w:r>
      <w:r w:rsidRPr="00EC44E2">
        <w:rPr>
          <w:rFonts w:ascii="Times New Roman" w:eastAsia="Calibri" w:hAnsi="Times New Roman" w:cs="Times New Roman"/>
          <w:b/>
          <w:color w:val="365F91"/>
          <w:sz w:val="28"/>
          <w:szCs w:val="28"/>
          <w:lang w:eastAsia="ru-RU"/>
        </w:rPr>
        <w:t xml:space="preserve">-19 </w:t>
      </w:r>
      <w:r w:rsidRPr="00EC44E2">
        <w:rPr>
          <w:rFonts w:ascii="Times New Roman" w:eastAsia="Calibri" w:hAnsi="Times New Roman" w:cs="Times New Roman"/>
          <w:b/>
          <w:color w:val="365F91"/>
          <w:sz w:val="28"/>
          <w:szCs w:val="28"/>
          <w:lang w:val="uk-UA" w:eastAsia="ru-RU"/>
        </w:rPr>
        <w:t xml:space="preserve">в Україні  </w:t>
      </w:r>
    </w:p>
    <w:p w:rsidR="000441C8" w:rsidRPr="00EC44E2" w:rsidRDefault="000441C8" w:rsidP="000441C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65F91"/>
          <w:sz w:val="28"/>
          <w:szCs w:val="28"/>
          <w:lang w:val="uk-UA" w:eastAsia="ru-RU"/>
        </w:rPr>
      </w:pPr>
      <w:r w:rsidRPr="00EC44E2">
        <w:rPr>
          <w:rFonts w:ascii="Times New Roman" w:eastAsia="Calibri" w:hAnsi="Times New Roman" w:cs="Times New Roman"/>
          <w:b/>
          <w:color w:val="365F91"/>
          <w:sz w:val="28"/>
          <w:szCs w:val="28"/>
          <w:lang w:val="uk-UA" w:eastAsia="ru-RU"/>
        </w:rPr>
        <w:t>202</w:t>
      </w:r>
      <w:r w:rsidR="00F20279">
        <w:rPr>
          <w:rFonts w:ascii="Times New Roman" w:eastAsia="Calibri" w:hAnsi="Times New Roman" w:cs="Times New Roman"/>
          <w:b/>
          <w:color w:val="365F91"/>
          <w:sz w:val="28"/>
          <w:szCs w:val="28"/>
          <w:lang w:val="uk-UA" w:eastAsia="ru-RU"/>
        </w:rPr>
        <w:t>5</w:t>
      </w:r>
      <w:r w:rsidRPr="00EC44E2">
        <w:rPr>
          <w:rFonts w:ascii="Times New Roman" w:eastAsia="Calibri" w:hAnsi="Times New Roman" w:cs="Times New Roman"/>
          <w:b/>
          <w:color w:val="365F91"/>
          <w:sz w:val="28"/>
          <w:szCs w:val="28"/>
          <w:lang w:val="uk-UA" w:eastAsia="ru-RU"/>
        </w:rPr>
        <w:t>-20</w:t>
      </w:r>
      <w:r w:rsidRPr="00EC44E2">
        <w:rPr>
          <w:rFonts w:ascii="Times New Roman" w:eastAsia="Calibri" w:hAnsi="Times New Roman" w:cs="Times New Roman"/>
          <w:b/>
          <w:color w:val="365F91"/>
          <w:sz w:val="28"/>
          <w:szCs w:val="28"/>
          <w:lang w:eastAsia="ru-RU"/>
        </w:rPr>
        <w:t>2</w:t>
      </w:r>
      <w:r w:rsidR="00F20279">
        <w:rPr>
          <w:rFonts w:ascii="Times New Roman" w:eastAsia="Calibri" w:hAnsi="Times New Roman" w:cs="Times New Roman"/>
          <w:b/>
          <w:color w:val="365F91"/>
          <w:sz w:val="28"/>
          <w:szCs w:val="28"/>
          <w:lang w:val="uk-UA" w:eastAsia="ru-RU"/>
        </w:rPr>
        <w:t>6</w:t>
      </w:r>
      <w:r w:rsidRPr="00EC44E2">
        <w:rPr>
          <w:rFonts w:ascii="Times New Roman" w:eastAsia="Calibri" w:hAnsi="Times New Roman" w:cs="Times New Roman"/>
          <w:b/>
          <w:color w:val="365F91"/>
          <w:sz w:val="28"/>
          <w:szCs w:val="28"/>
          <w:lang w:val="uk-UA" w:eastAsia="ru-RU"/>
        </w:rPr>
        <w:t xml:space="preserve"> років за даними обраних лікувальних закладів</w:t>
      </w:r>
    </w:p>
    <w:p w:rsidR="000441C8" w:rsidRPr="00EC44E2" w:rsidRDefault="000441C8" w:rsidP="000441C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65F91"/>
          <w:sz w:val="28"/>
          <w:szCs w:val="28"/>
          <w:lang w:val="uk-UA" w:eastAsia="ru-RU"/>
        </w:rPr>
      </w:pPr>
      <w:r w:rsidRPr="00EC44E2">
        <w:rPr>
          <w:rFonts w:ascii="Times New Roman" w:eastAsia="Calibri" w:hAnsi="Times New Roman" w:cs="Times New Roman"/>
          <w:b/>
          <w:color w:val="365F91"/>
          <w:sz w:val="28"/>
          <w:szCs w:val="28"/>
          <w:lang w:val="uk-UA" w:eastAsia="ru-RU"/>
        </w:rPr>
        <w:t xml:space="preserve"> в містах Київ, Дніпро, Одеса та Хмельницький</w:t>
      </w:r>
    </w:p>
    <w:p w:rsidR="00F456C8" w:rsidRPr="00EC44E2" w:rsidRDefault="00F456C8" w:rsidP="00F456C8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456C8" w:rsidRPr="00EC44E2" w:rsidRDefault="00F456C8" w:rsidP="002F14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2008 року в Україні функціонує система епіднагляду за грипоподібними захворюваннями (ГПЗ)* та тяжкими гострими респіраторними захворюваннями (ТГРЗ)* на основі даних, що надходять з обраних лікувальних закладів у містах Київ, Дніпро, Одеса та Хмельницький. Система налічує </w:t>
      </w:r>
      <w:r w:rsidRPr="00EC44E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8 закладів, зокрема: 5 стаціонарів та 3 – поліклінічні та амбулаторні заклади. Дані з цих закладів про кількість захворілих, госпіталізованих, кількість проведених лабораторних досліджень та число позитивних на респіраторні віруси зразків на регулярній основі щотижнево вносяться на сайт </w:t>
      </w:r>
      <w:hyperlink r:id="rId5" w:history="1">
        <w:r w:rsidRPr="00EC44E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uk-UA" w:eastAsia="ru-RU"/>
          </w:rPr>
          <w:t>www.ukrinfluenzakyiv.com.ua</w:t>
        </w:r>
      </w:hyperlink>
      <w:r w:rsidRPr="00EC44E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. </w:t>
      </w:r>
    </w:p>
    <w:p w:rsidR="00F456C8" w:rsidRPr="00EC44E2" w:rsidRDefault="00F456C8" w:rsidP="002F14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Показники захворюваності розраховані на чисельність населення, яке обслуговується цими лікувальними закладами. Поліклінічні та амбулаторні заклади обслуговують 149 759 тис. населення (дорослі – 75010 тис., діти – 74749 тис.), у стаціонарах </w:t>
      </w:r>
      <w:r w:rsidRPr="00EC44E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обслуговується 1 млн. 904 842 тис. населення (дорослі – </w:t>
      </w:r>
      <w:r w:rsidRPr="00EC44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1 млн. 627 680 тис.; діти – 277162 тис.)</w:t>
      </w:r>
      <w:r w:rsidRPr="00EC44E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</w:p>
    <w:p w:rsidR="00F456C8" w:rsidRDefault="00F456C8" w:rsidP="002F14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* - під визначення випадків ГПЗ та ТГРЗ підпадають респіраторні захворювання,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спричинені респіраторними вірусами, зокрема, вірусами грипу, аденовірусами, вірусами парагрипу, риновірусами,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-вірусами, метапневмовірусами, бокавірусами, коронавірусами людини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OC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43, 229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NL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63,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HKU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1, у тому числі - вірусами SARS-CoV-2, що викликає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-19.</w:t>
      </w:r>
    </w:p>
    <w:p w:rsidR="006002ED" w:rsidRPr="00EC44E2" w:rsidRDefault="006002ED" w:rsidP="002F14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445A67" w:rsidRDefault="00F456C8" w:rsidP="002F14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Епідсезон 2025/2026 </w:t>
      </w:r>
      <w:r w:rsid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років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Україні характеризувався нетипов</w:t>
      </w:r>
      <w:r w:rsid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раннім початком</w:t>
      </w:r>
      <w:r w:rsidR="00445A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</w:t>
      </w:r>
      <w:r w:rsid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45A67"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помірною активністю порівняно з попереднім сезоном.</w:t>
      </w:r>
      <w:r w:rsidR="00445A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Саме </w:t>
      </w:r>
      <w:r w:rsidR="00EC44E2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EC44E2" w:rsidRPr="00EC44E2">
        <w:rPr>
          <w:rFonts w:ascii="Times New Roman" w:hAnsi="Times New Roman" w:cs="Times New Roman"/>
          <w:sz w:val="28"/>
          <w:szCs w:val="28"/>
          <w:lang w:val="uk-UA"/>
        </w:rPr>
        <w:t xml:space="preserve">оява нових </w:t>
      </w:r>
      <w:r w:rsidR="00445A67" w:rsidRPr="00EC44E2">
        <w:rPr>
          <w:rFonts w:ascii="Times New Roman" w:hAnsi="Times New Roman" w:cs="Times New Roman"/>
          <w:sz w:val="28"/>
          <w:szCs w:val="28"/>
          <w:lang w:val="uk-UA"/>
        </w:rPr>
        <w:t>домін</w:t>
      </w:r>
      <w:r w:rsidR="00445A67">
        <w:rPr>
          <w:rFonts w:ascii="Times New Roman" w:hAnsi="Times New Roman" w:cs="Times New Roman"/>
          <w:sz w:val="28"/>
          <w:szCs w:val="28"/>
          <w:lang w:val="uk-UA"/>
        </w:rPr>
        <w:t>уючих</w:t>
      </w:r>
      <w:r w:rsidR="00445A67" w:rsidRPr="00EC44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02ED" w:rsidRPr="006002ED">
        <w:rPr>
          <w:rFonts w:ascii="Times New Roman" w:hAnsi="Times New Roman" w:cs="Times New Roman"/>
          <w:sz w:val="28"/>
          <w:szCs w:val="28"/>
          <w:lang w:val="uk-UA"/>
        </w:rPr>
        <w:t>омікрон-суб</w:t>
      </w:r>
      <w:r w:rsidR="00EC44E2" w:rsidRPr="00EC44E2">
        <w:rPr>
          <w:rFonts w:ascii="Times New Roman" w:hAnsi="Times New Roman" w:cs="Times New Roman"/>
          <w:sz w:val="28"/>
          <w:szCs w:val="28"/>
          <w:lang w:val="uk-UA"/>
        </w:rPr>
        <w:t xml:space="preserve">варіантів </w:t>
      </w:r>
      <w:r w:rsidR="00EC44E2"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SARS-CoV-2</w:t>
      </w:r>
      <w:r w:rsid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45A67" w:rsidRPr="00EC44E2">
        <w:rPr>
          <w:rFonts w:ascii="Times New Roman" w:hAnsi="Times New Roman" w:cs="Times New Roman"/>
          <w:sz w:val="28"/>
          <w:szCs w:val="28"/>
        </w:rPr>
        <w:t>XFG</w:t>
      </w:r>
      <w:r w:rsidR="00D64A5A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445A67" w:rsidRPr="00EC44E2">
        <w:rPr>
          <w:rFonts w:ascii="Times New Roman" w:hAnsi="Times New Roman" w:cs="Times New Roman"/>
          <w:sz w:val="28"/>
          <w:szCs w:val="28"/>
        </w:rPr>
        <w:t>NB</w:t>
      </w:r>
      <w:r w:rsidR="00445A67" w:rsidRPr="00EC44E2">
        <w:rPr>
          <w:rFonts w:ascii="Times New Roman" w:hAnsi="Times New Roman" w:cs="Times New Roman"/>
          <w:sz w:val="28"/>
          <w:szCs w:val="28"/>
          <w:lang w:val="uk-UA"/>
        </w:rPr>
        <w:t>.1.8.1</w:t>
      </w:r>
      <w:r w:rsidR="00445A67" w:rsidRPr="00445A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C44E2" w:rsidRPr="00EC44E2">
        <w:rPr>
          <w:rFonts w:ascii="Times New Roman" w:hAnsi="Times New Roman" w:cs="Times New Roman"/>
          <w:sz w:val="28"/>
          <w:szCs w:val="28"/>
          <w:lang w:val="uk-UA"/>
        </w:rPr>
        <w:t>у червні-серпні 2025 року</w:t>
      </w:r>
      <w:r w:rsidR="00445A6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призв</w:t>
      </w:r>
      <w:r w:rsidR="006002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ело</w:t>
      </w:r>
      <w:r w:rsid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зсуву початку епідсезону майже на два місяці раніше традиційного старту</w:t>
      </w:r>
      <w:r w:rsidR="00445A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A03BC5" w:rsidRPr="00A03BC5" w:rsidRDefault="00D64A5A" w:rsidP="00A03BC5">
      <w:pPr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Починаючи з 32 тижня 2025 року (04.08.-10.08.) і до 39 тижня (22.09-28.09) відмічався значний приріст кількості госпіталізованих осіб з підозрою на ТГРЗ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стаціонари 4-х дозорних центрів</w:t>
      </w:r>
      <w:r w:rsidR="004458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bookmarkStart w:id="0" w:name="_GoBack"/>
      <w:bookmarkEnd w:id="0"/>
      <w:r w:rsid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r w:rsidR="00A03BC5" w:rsidRP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обто</w:t>
      </w:r>
      <w:r w:rsid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A03BC5" w:rsidRP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вісім тижнів до офіційного початку епідемічного сезону, спостерігалос</w:t>
      </w:r>
      <w:r w:rsid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="00A03BC5" w:rsidRP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суттєве збільшення кількості госпіталізованих із підозрою на ТГРЗ. У середньому</w:t>
      </w:r>
      <w:r w:rsid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A03BC5" w:rsidRP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щотижня </w:t>
      </w:r>
      <w:r w:rsid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було </w:t>
      </w:r>
      <w:r w:rsidR="00A03BC5" w:rsidRP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госпіталізова</w:t>
      </w:r>
      <w:r w:rsid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</w:t>
      </w:r>
      <w:r w:rsidR="00A03BC5" w:rsidRP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близько 773 пацієнтів, а загальна кількість госпіталізацій за цей період </w:t>
      </w:r>
      <w:r w:rsid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досягла</w:t>
      </w:r>
      <w:r w:rsidR="00A03BC5" w:rsidRP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6185 випадків</w:t>
      </w:r>
      <w:r w:rsid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A03BC5"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тоді як з 40 по 47 тиждень (29.09</w:t>
      </w:r>
      <w:r w:rsid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03BC5"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03BC5"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23.11</w:t>
      </w:r>
      <w:r w:rsid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.2025</w:t>
      </w:r>
      <w:r w:rsidR="00A03BC5"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у традиційні тижні </w:t>
      </w:r>
      <w:r w:rsidR="00A03BC5"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епідсезон</w:t>
      </w:r>
      <w:r w:rsid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A03BC5"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 зареєстровано лише 4642 хворих.</w:t>
      </w:r>
    </w:p>
    <w:p w:rsidR="00EB575D" w:rsidRPr="00EC44E2" w:rsidRDefault="00A03BC5" w:rsidP="00EB575D">
      <w:pPr>
        <w:spacing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Саме в цей час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період міжсезоння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лабораторн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 підтверджено</w:t>
      </w:r>
      <w:r w:rsidRP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початок активної циркуляції </w:t>
      </w:r>
      <w:r w:rsidRPr="00EC44E2">
        <w:rPr>
          <w:rFonts w:ascii="Times New Roman" w:eastAsia="Times New Roman" w:hAnsi="Times New Roman" w:cs="Times New Roman"/>
          <w:sz w:val="28"/>
          <w:szCs w:val="28"/>
          <w:lang w:eastAsia="ru-RU"/>
        </w:rPr>
        <w:t>SARS</w:t>
      </w:r>
      <w:r w:rsidRP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EC44E2">
        <w:rPr>
          <w:rFonts w:ascii="Times New Roman" w:eastAsia="Times New Roman" w:hAnsi="Times New Roman" w:cs="Times New Roman"/>
          <w:sz w:val="28"/>
          <w:szCs w:val="28"/>
          <w:lang w:eastAsia="ru-RU"/>
        </w:rPr>
        <w:t>CoV</w:t>
      </w:r>
      <w:r w:rsidRPr="00A03B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-2.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C4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Із </w:t>
      </w:r>
      <w:r w:rsidRPr="00A03BC5">
        <w:rPr>
          <w:rFonts w:ascii="Times New Roman" w:eastAsia="Times New Roman" w:hAnsi="Times New Roman" w:cs="Times New Roman"/>
          <w:sz w:val="28"/>
          <w:szCs w:val="28"/>
          <w:lang w:eastAsia="ru-RU"/>
        </w:rPr>
        <w:t>74 досліджених зразків</w:t>
      </w:r>
      <w:r w:rsidRPr="00EC4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хворих </w:t>
      </w:r>
      <w:r w:rsidRPr="00A03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 (58,0%) </w:t>
      </w:r>
      <w:r w:rsidRPr="00EC44E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виявилися позитивними на SARS-CoV-2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а за </w:t>
      </w:r>
      <w:r w:rsidR="006D72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даними МОЗ по Україні в цілому було підтверджено: </w:t>
      </w:r>
      <w:r w:rsidR="006D72B8" w:rsidRPr="006D72B8">
        <w:rPr>
          <w:rFonts w:ascii="Times New Roman" w:hAnsi="Times New Roman" w:cs="Times New Roman"/>
          <w:sz w:val="28"/>
          <w:szCs w:val="28"/>
          <w:lang w:val="uk-UA"/>
        </w:rPr>
        <w:t xml:space="preserve">81 випадок </w:t>
      </w:r>
      <w:r w:rsidR="006D72B8" w:rsidRPr="006D72B8">
        <w:rPr>
          <w:rFonts w:ascii="Times New Roman" w:hAnsi="Times New Roman" w:cs="Times New Roman"/>
          <w:sz w:val="28"/>
          <w:szCs w:val="28"/>
        </w:rPr>
        <w:t>XFG</w:t>
      </w:r>
      <w:r w:rsidR="006D72B8" w:rsidRPr="006D72B8">
        <w:rPr>
          <w:rFonts w:ascii="Times New Roman" w:hAnsi="Times New Roman" w:cs="Times New Roman"/>
          <w:sz w:val="28"/>
          <w:szCs w:val="28"/>
          <w:lang w:val="uk-UA"/>
        </w:rPr>
        <w:t xml:space="preserve">, 2 – </w:t>
      </w:r>
      <w:r w:rsidR="006D72B8" w:rsidRPr="006D72B8">
        <w:rPr>
          <w:rFonts w:ascii="Times New Roman" w:hAnsi="Times New Roman" w:cs="Times New Roman"/>
          <w:sz w:val="28"/>
          <w:szCs w:val="28"/>
        </w:rPr>
        <w:t>NB</w:t>
      </w:r>
      <w:r w:rsidR="006D72B8" w:rsidRPr="006D72B8">
        <w:rPr>
          <w:rFonts w:ascii="Times New Roman" w:hAnsi="Times New Roman" w:cs="Times New Roman"/>
          <w:sz w:val="28"/>
          <w:szCs w:val="28"/>
          <w:lang w:val="uk-UA"/>
        </w:rPr>
        <w:t xml:space="preserve">.1.8.1 </w:t>
      </w:r>
      <w:r w:rsidR="006D72B8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6D72B8" w:rsidRPr="006D72B8">
        <w:rPr>
          <w:rFonts w:ascii="Times New Roman" w:hAnsi="Times New Roman" w:cs="Times New Roman"/>
          <w:sz w:val="28"/>
          <w:szCs w:val="28"/>
          <w:lang w:val="uk-UA"/>
        </w:rPr>
        <w:t>станом на серпень 2025)</w:t>
      </w:r>
      <w:r w:rsidR="00D64A5A" w:rsidRPr="006D72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D64A5A"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B575D" w:rsidRPr="00EC44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Подібний розвиток епідемічного процесу свідчить про поступове порушення традиційної сезонності COVID-19. Якщо до пандемії сезонність респіраторних інфекцій визначалася переважно холодним періодом року, то сучасні варіанти SARS-CoV-2 дедалі частіше демонструють літньо-осінні хвилі підйому захворюваності, що спостерігається як в Україні, так і в більшості країн Європи.</w:t>
      </w:r>
    </w:p>
    <w:p w:rsidR="00D64A5A" w:rsidRPr="008A3332" w:rsidRDefault="006002ED" w:rsidP="002F14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даними ВООЗ</w:t>
      </w:r>
      <w:r w:rsidRPr="006002ED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Pr="006002ED">
        <w:rPr>
          <w:rFonts w:ascii="Times New Roman" w:hAnsi="Times New Roman" w:cs="Times New Roman"/>
          <w:sz w:val="28"/>
          <w:szCs w:val="28"/>
        </w:rPr>
        <w:t>ECDC</w:t>
      </w:r>
      <w:r w:rsidRPr="006002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002ED">
        <w:rPr>
          <w:rFonts w:ascii="Times New Roman" w:hAnsi="Times New Roman" w:cs="Times New Roman"/>
          <w:sz w:val="28"/>
          <w:szCs w:val="28"/>
          <w:lang w:val="uk-UA"/>
        </w:rPr>
        <w:t xml:space="preserve"> переважній більшості європейських країн </w:t>
      </w:r>
      <w:r>
        <w:rPr>
          <w:rFonts w:ascii="Times New Roman" w:hAnsi="Times New Roman" w:cs="Times New Roman"/>
          <w:sz w:val="28"/>
          <w:szCs w:val="28"/>
          <w:lang w:val="uk-UA"/>
        </w:rPr>
        <w:t>епід</w:t>
      </w:r>
      <w:r w:rsidRPr="006002ED">
        <w:rPr>
          <w:rFonts w:ascii="Times New Roman" w:hAnsi="Times New Roman" w:cs="Times New Roman"/>
          <w:sz w:val="28"/>
          <w:szCs w:val="28"/>
          <w:lang w:val="uk-UA"/>
        </w:rPr>
        <w:t>сезон</w:t>
      </w:r>
      <w:r w:rsidRPr="006002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02ED">
        <w:rPr>
          <w:rFonts w:ascii="Times New Roman" w:hAnsi="Times New Roman" w:cs="Times New Roman"/>
          <w:sz w:val="28"/>
          <w:szCs w:val="28"/>
          <w:lang w:val="uk-UA"/>
        </w:rPr>
        <w:t xml:space="preserve">2025/26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рр. </w:t>
      </w:r>
      <w:r w:rsidRPr="006002ED">
        <w:rPr>
          <w:rFonts w:ascii="Times New Roman" w:hAnsi="Times New Roman" w:cs="Times New Roman"/>
          <w:sz w:val="28"/>
          <w:szCs w:val="28"/>
          <w:lang w:val="uk-UA"/>
        </w:rPr>
        <w:t>пройшов за стандартними зимово-весняними термінами (початок жовтень-листопад), без аномальних спалахів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6002ED">
        <w:rPr>
          <w:rFonts w:ascii="Times New Roman" w:hAnsi="Times New Roman" w:cs="Times New Roman"/>
          <w:sz w:val="28"/>
          <w:szCs w:val="28"/>
          <w:lang w:val="uk-UA"/>
        </w:rPr>
        <w:t xml:space="preserve"> низьки</w:t>
      </w:r>
      <w:r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Pr="006002ED">
        <w:rPr>
          <w:rFonts w:ascii="Times New Roman" w:hAnsi="Times New Roman" w:cs="Times New Roman"/>
          <w:sz w:val="28"/>
          <w:szCs w:val="28"/>
          <w:lang w:val="uk-UA"/>
        </w:rPr>
        <w:t xml:space="preserve"> рівн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ями </w:t>
      </w:r>
      <w:r w:rsidRPr="006002ED">
        <w:rPr>
          <w:rFonts w:ascii="Times New Roman" w:hAnsi="Times New Roman" w:cs="Times New Roman"/>
          <w:sz w:val="28"/>
          <w:szCs w:val="28"/>
          <w:lang w:val="uk-UA"/>
        </w:rPr>
        <w:t xml:space="preserve">активності </w:t>
      </w:r>
      <w:r w:rsidRPr="006002ED">
        <w:rPr>
          <w:rFonts w:ascii="Times New Roman" w:hAnsi="Times New Roman" w:cs="Times New Roman"/>
          <w:sz w:val="28"/>
          <w:szCs w:val="28"/>
        </w:rPr>
        <w:t>SARS</w:t>
      </w:r>
      <w:r w:rsidRPr="006002E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6002ED">
        <w:rPr>
          <w:rFonts w:ascii="Times New Roman" w:hAnsi="Times New Roman" w:cs="Times New Roman"/>
          <w:sz w:val="28"/>
          <w:szCs w:val="28"/>
        </w:rPr>
        <w:t>CoV</w:t>
      </w:r>
      <w:r w:rsidRPr="006002ED">
        <w:rPr>
          <w:rFonts w:ascii="Times New Roman" w:hAnsi="Times New Roman" w:cs="Times New Roman"/>
          <w:sz w:val="28"/>
          <w:szCs w:val="28"/>
          <w:lang w:val="uk-UA"/>
        </w:rPr>
        <w:t xml:space="preserve">-2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не призводило до навантаження </w:t>
      </w:r>
      <w:r w:rsidR="008A3332">
        <w:rPr>
          <w:rFonts w:ascii="Times New Roman" w:hAnsi="Times New Roman" w:cs="Times New Roman"/>
          <w:sz w:val="28"/>
          <w:szCs w:val="28"/>
          <w:lang w:val="uk-UA"/>
        </w:rPr>
        <w:t>на систему охорони здоров’я</w:t>
      </w:r>
      <w:r w:rsidRPr="006002E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6002ED">
        <w:rPr>
          <w:rFonts w:ascii="Times New Roman" w:hAnsi="Times New Roman" w:cs="Times New Roman"/>
          <w:sz w:val="28"/>
          <w:szCs w:val="28"/>
        </w:rPr>
        <w:t>У країнах ЄС/ЄЕЗ поступово зростали показники захворюваності до весни 2026</w:t>
      </w:r>
      <w:r w:rsidR="008A3332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6002ED">
        <w:rPr>
          <w:rFonts w:ascii="Times New Roman" w:hAnsi="Times New Roman" w:cs="Times New Roman"/>
          <w:sz w:val="28"/>
          <w:szCs w:val="28"/>
        </w:rPr>
        <w:t>, але цей підйом не призвів до статистично значущого зростання госпіталізацій чи смертності</w:t>
      </w:r>
      <w:r w:rsidR="008A333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87701" w:rsidRDefault="00F456C8" w:rsidP="002F14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даними </w:t>
      </w:r>
      <w:r w:rsidR="008A33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ДЕН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Україні до обраних поліклінічних та амбулаторних закладів з 40 тижн</w:t>
      </w:r>
      <w:r w:rsidR="00D461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2025 року по 20 тиждень 2026 (29.09.2025 - 17.05.2026) було зареєстровано </w:t>
      </w:r>
      <w:r w:rsidR="008A33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20 515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звернен</w:t>
      </w:r>
      <w:r w:rsidR="008A33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медичною допомогою з підозрою на ГПЗ,</w:t>
      </w:r>
      <w:r w:rsidR="0028770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8770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0,8 % менше, у порівнянні з минулим роком. </w:t>
      </w:r>
    </w:p>
    <w:p w:rsidR="002F14CF" w:rsidRDefault="00AD3CA2" w:rsidP="002F14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867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</w:t>
      </w:r>
      <w:r w:rsidR="00D461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ротягом епідсезону було виявлено 966 хворих </w:t>
      </w:r>
      <w:r w:rsidR="00D461C5" w:rsidRPr="007C6EB9">
        <w:rPr>
          <w:rFonts w:ascii="Times New Roman" w:hAnsi="Times New Roman"/>
          <w:sz w:val="28"/>
          <w:szCs w:val="28"/>
          <w:lang w:val="uk-UA"/>
        </w:rPr>
        <w:t xml:space="preserve">з ознаками </w:t>
      </w:r>
      <w:r w:rsidRPr="00D867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ТГРЗ</w:t>
      </w:r>
      <w:r w:rsidR="00D461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461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(пок. 50,7 </w:t>
      </w:r>
      <w:r w:rsidR="00D461C5" w:rsidRPr="00D867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100 тис. </w:t>
      </w:r>
      <w:r w:rsidR="00D461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населення)</w:t>
      </w:r>
      <w:r w:rsidR="001D6C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</w:t>
      </w:r>
      <w:r w:rsidRPr="00D867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бул</w:t>
      </w:r>
      <w:r w:rsidR="001D6C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Pr="00D867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461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нижч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</w:t>
      </w:r>
      <w:r w:rsidRPr="00D867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показника минулого року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</w:t>
      </w:r>
      <w:r w:rsidR="00D461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8,5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% </w:t>
      </w:r>
      <w:r w:rsidRPr="00D867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(пок. </w:t>
      </w:r>
      <w:r w:rsidR="00D461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50,7 </w:t>
      </w:r>
      <w:r w:rsidRPr="00D867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100 тис. проти пок. </w:t>
      </w:r>
      <w:r w:rsidR="00D461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55,0</w:t>
      </w:r>
      <w:r w:rsidR="00D461C5" w:rsidRPr="00D867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867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100 тис. – 202</w:t>
      </w:r>
      <w:r w:rsidR="00D461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D867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1D6C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461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Динаміка показників </w:t>
      </w:r>
      <w:r w:rsidR="009118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ТГРЗ та відсоток позитивних знахідок у порівнянні з минулим сезоном відображені 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рис</w:t>
      </w:r>
      <w:r w:rsidR="009118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унку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118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D867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9118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D461C5" w:rsidRDefault="00D461C5" w:rsidP="00D461C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noProof/>
        </w:rPr>
        <w:drawing>
          <wp:inline distT="0" distB="0" distL="0" distR="0" wp14:anchorId="3EABD09E" wp14:editId="5A099E1F">
            <wp:extent cx="5864225" cy="2647950"/>
            <wp:effectExtent l="0" t="0" r="3175" b="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F2722006-6E4E-492F-848F-5337695E0D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461C5" w:rsidRDefault="00D461C5" w:rsidP="00F456C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F14CF" w:rsidRDefault="002F14CF" w:rsidP="0091184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Рис. 1.</w:t>
      </w:r>
      <w:r w:rsidRPr="00EC44E2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Динаміка реєстрованих випадків ТГРЗ та кількість лабораторних підтверджень грипу та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SARS-CoV-2 в 4-х дозорних центрах України в сезоні 2025-2026 років.</w:t>
      </w:r>
    </w:p>
    <w:p w:rsidR="00196B21" w:rsidRDefault="00EA65CE" w:rsidP="00EA65C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7C6EB9">
        <w:rPr>
          <w:rFonts w:ascii="Times New Roman" w:hAnsi="Times New Roman"/>
          <w:sz w:val="28"/>
          <w:szCs w:val="28"/>
          <w:lang w:val="uk-UA"/>
        </w:rPr>
        <w:t xml:space="preserve">ідйом рівнів реєстрованих випадків </w:t>
      </w:r>
      <w:bookmarkStart w:id="1" w:name="_Hlk234438802"/>
      <w:r w:rsidRPr="007C6EB9">
        <w:rPr>
          <w:rFonts w:ascii="Times New Roman" w:hAnsi="Times New Roman"/>
          <w:sz w:val="28"/>
          <w:szCs w:val="28"/>
          <w:lang w:val="uk-UA"/>
        </w:rPr>
        <w:t xml:space="preserve">з ознаками ТГРЗ </w:t>
      </w:r>
      <w:bookmarkEnd w:id="1"/>
      <w:r w:rsidRPr="007C6EB9">
        <w:rPr>
          <w:rFonts w:ascii="Times New Roman" w:hAnsi="Times New Roman"/>
          <w:sz w:val="28"/>
          <w:szCs w:val="28"/>
          <w:lang w:val="uk-UA"/>
        </w:rPr>
        <w:t xml:space="preserve">спостерігався вже з </w:t>
      </w:r>
      <w:r>
        <w:rPr>
          <w:rFonts w:ascii="Times New Roman" w:hAnsi="Times New Roman"/>
          <w:sz w:val="28"/>
          <w:szCs w:val="28"/>
          <w:lang w:val="uk-UA"/>
        </w:rPr>
        <w:t xml:space="preserve">серпня </w:t>
      </w:r>
      <w:r w:rsidR="00196B21"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2025 року</w:t>
      </w:r>
      <w:r w:rsidR="00196B2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32 тиж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день</w:t>
      </w:r>
      <w:r w:rsidR="00196B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04.08.-10.08.)</w:t>
      </w:r>
      <w:r>
        <w:rPr>
          <w:rFonts w:ascii="Times New Roman" w:hAnsi="Times New Roman"/>
          <w:sz w:val="28"/>
          <w:szCs w:val="28"/>
          <w:lang w:val="uk-UA"/>
        </w:rPr>
        <w:t xml:space="preserve"> і бу</w:t>
      </w:r>
      <w:r w:rsidR="00EF431A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 xml:space="preserve"> обумовлен</w:t>
      </w:r>
      <w:r w:rsidR="00EF431A">
        <w:rPr>
          <w:rFonts w:ascii="Times New Roman" w:hAnsi="Times New Roman"/>
          <w:sz w:val="28"/>
          <w:szCs w:val="28"/>
          <w:lang w:val="uk-UA"/>
        </w:rPr>
        <w:t>ий</w:t>
      </w:r>
      <w:r>
        <w:rPr>
          <w:rFonts w:ascii="Times New Roman" w:hAnsi="Times New Roman"/>
          <w:sz w:val="28"/>
          <w:szCs w:val="28"/>
          <w:lang w:val="uk-UA"/>
        </w:rPr>
        <w:t xml:space="preserve"> циркуляцією </w:t>
      </w:r>
      <w:r>
        <w:rPr>
          <w:rFonts w:ascii="Times New Roman" w:hAnsi="Times New Roman"/>
          <w:sz w:val="28"/>
          <w:szCs w:val="28"/>
          <w:lang w:val="uk-UA"/>
        </w:rPr>
        <w:t xml:space="preserve">нових субваріантів </w:t>
      </w:r>
      <w:r w:rsidRPr="00DF307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SARS-CoV-2</w:t>
      </w:r>
      <w:r w:rsidR="00AD5CC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</w:t>
      </w:r>
      <w:r w:rsidR="001D6CA0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що</w:t>
      </w:r>
      <w:r w:rsidR="00AD5CC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було вперше за роки спостереження і нетипово для епідсезону. </w:t>
      </w:r>
    </w:p>
    <w:p w:rsidR="00EA65CE" w:rsidRPr="00EF431A" w:rsidRDefault="00EF431A" w:rsidP="00EA65C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F431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Починаючи з  52 тижня 202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5</w:t>
      </w:r>
      <w:r w:rsidRPr="00EF431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року (2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</w:t>
      </w:r>
      <w:r w:rsidRPr="00EF431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.12. - 2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8</w:t>
      </w:r>
      <w:r w:rsidRPr="00EF431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.12.)  і до 4 тижня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19.01</w:t>
      </w:r>
      <w:r w:rsidRPr="00EF431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.-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25.01.</w:t>
      </w:r>
      <w:r w:rsidRPr="00EF431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) 202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6</w:t>
      </w:r>
      <w:r w:rsidRPr="00EF431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року відмічал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</w:t>
      </w:r>
      <w:r w:rsidRPr="00EF431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сь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поступове зростання рівнів захворювання на ТГРЗ з </w:t>
      </w:r>
      <w:r w:rsidR="00EA65CE" w:rsidRPr="00EF431A">
        <w:rPr>
          <w:rFonts w:ascii="Times New Roman" w:hAnsi="Times New Roman"/>
          <w:sz w:val="28"/>
          <w:szCs w:val="28"/>
          <w:lang w:val="uk-UA"/>
        </w:rPr>
        <w:t>темп</w:t>
      </w:r>
      <w:r>
        <w:rPr>
          <w:rFonts w:ascii="Times New Roman" w:hAnsi="Times New Roman"/>
          <w:sz w:val="28"/>
          <w:szCs w:val="28"/>
          <w:lang w:val="uk-UA"/>
        </w:rPr>
        <w:t>ом</w:t>
      </w:r>
      <w:r w:rsidR="00EA65CE" w:rsidRPr="00EF431A">
        <w:rPr>
          <w:rFonts w:ascii="Times New Roman" w:hAnsi="Times New Roman"/>
          <w:sz w:val="28"/>
          <w:szCs w:val="28"/>
          <w:lang w:val="uk-UA"/>
        </w:rPr>
        <w:t xml:space="preserve"> приросту захворюваності </w:t>
      </w:r>
      <w:r w:rsidR="00EA65CE" w:rsidRPr="00EF431A">
        <w:rPr>
          <w:rFonts w:ascii="Times New Roman" w:hAnsi="Times New Roman"/>
          <w:bCs/>
          <w:sz w:val="28"/>
          <w:szCs w:val="28"/>
          <w:lang w:val="uk-UA"/>
        </w:rPr>
        <w:t>(Т</w:t>
      </w:r>
      <w:r w:rsidR="00EA65CE" w:rsidRPr="00EF431A">
        <w:rPr>
          <w:rFonts w:ascii="Times New Roman" w:hAnsi="Times New Roman"/>
          <w:bCs/>
          <w:sz w:val="28"/>
          <w:szCs w:val="28"/>
          <w:vertAlign w:val="subscript"/>
          <w:lang w:val="uk-UA"/>
        </w:rPr>
        <w:t>пр./зн</w:t>
      </w:r>
      <w:r w:rsidR="00EA65CE" w:rsidRPr="00EF431A">
        <w:rPr>
          <w:rFonts w:ascii="Times New Roman" w:hAnsi="Times New Roman"/>
          <w:bCs/>
          <w:sz w:val="28"/>
          <w:szCs w:val="28"/>
          <w:lang w:val="uk-UA"/>
        </w:rPr>
        <w:t>. = +</w:t>
      </w:r>
      <w:r w:rsidR="001D6CA0">
        <w:rPr>
          <w:rFonts w:ascii="Times New Roman" w:hAnsi="Times New Roman"/>
          <w:bCs/>
          <w:sz w:val="28"/>
          <w:szCs w:val="28"/>
          <w:lang w:val="uk-UA"/>
        </w:rPr>
        <w:t>25,0</w:t>
      </w:r>
      <w:r w:rsidR="00EA65CE" w:rsidRPr="00EF431A">
        <w:rPr>
          <w:rFonts w:ascii="Times New Roman" w:hAnsi="Times New Roman"/>
          <w:bCs/>
          <w:sz w:val="28"/>
          <w:szCs w:val="28"/>
          <w:lang w:val="uk-UA"/>
        </w:rPr>
        <w:t xml:space="preserve"> %)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AD5CC4">
        <w:rPr>
          <w:rFonts w:ascii="Times New Roman" w:hAnsi="Times New Roman"/>
          <w:bCs/>
          <w:sz w:val="28"/>
          <w:szCs w:val="28"/>
          <w:lang w:val="uk-UA"/>
        </w:rPr>
        <w:t>та</w:t>
      </w:r>
      <w:r w:rsidR="00EA65CE" w:rsidRPr="00EF431A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EF431A">
        <w:rPr>
          <w:rFonts w:ascii="Times New Roman" w:hAnsi="Times New Roman"/>
          <w:bCs/>
          <w:sz w:val="28"/>
          <w:szCs w:val="28"/>
          <w:lang w:val="uk-UA"/>
        </w:rPr>
        <w:t>(Т</w:t>
      </w:r>
      <w:r w:rsidRPr="00EF431A">
        <w:rPr>
          <w:rFonts w:ascii="Times New Roman" w:hAnsi="Times New Roman"/>
          <w:bCs/>
          <w:sz w:val="28"/>
          <w:szCs w:val="28"/>
          <w:vertAlign w:val="subscript"/>
          <w:lang w:val="uk-UA"/>
        </w:rPr>
        <w:t>пр./зн</w:t>
      </w:r>
      <w:r w:rsidRPr="00EF431A">
        <w:rPr>
          <w:rFonts w:ascii="Times New Roman" w:hAnsi="Times New Roman"/>
          <w:bCs/>
          <w:sz w:val="28"/>
          <w:szCs w:val="28"/>
          <w:lang w:val="uk-UA"/>
        </w:rPr>
        <w:t>. = +</w:t>
      </w:r>
      <w:r w:rsidR="001D6CA0">
        <w:rPr>
          <w:rFonts w:ascii="Times New Roman" w:hAnsi="Times New Roman"/>
          <w:bCs/>
          <w:sz w:val="28"/>
          <w:szCs w:val="28"/>
          <w:lang w:val="uk-UA"/>
        </w:rPr>
        <w:t>27,8</w:t>
      </w:r>
      <w:r w:rsidRPr="00EF431A">
        <w:rPr>
          <w:rFonts w:ascii="Times New Roman" w:hAnsi="Times New Roman"/>
          <w:bCs/>
          <w:sz w:val="28"/>
          <w:szCs w:val="28"/>
          <w:lang w:val="uk-UA"/>
        </w:rPr>
        <w:t xml:space="preserve"> %)</w:t>
      </w:r>
      <w:r w:rsidR="00AD5CC4">
        <w:rPr>
          <w:rFonts w:ascii="Times New Roman" w:hAnsi="Times New Roman"/>
          <w:bCs/>
          <w:sz w:val="28"/>
          <w:szCs w:val="28"/>
          <w:lang w:val="uk-UA"/>
        </w:rPr>
        <w:t>, відповідно</w:t>
      </w:r>
      <w:r w:rsidR="00EA65CE" w:rsidRPr="00EF431A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EA65CE" w:rsidRPr="00EF431A">
        <w:rPr>
          <w:rFonts w:ascii="Times New Roman" w:hAnsi="Times New Roman"/>
          <w:bCs/>
          <w:sz w:val="28"/>
          <w:szCs w:val="28"/>
          <w:lang w:val="uk-UA"/>
        </w:rPr>
        <w:t xml:space="preserve">що </w:t>
      </w:r>
      <w:r w:rsidR="00EA65CE" w:rsidRPr="00EF431A">
        <w:rPr>
          <w:rFonts w:ascii="Times New Roman" w:hAnsi="Times New Roman"/>
          <w:sz w:val="28"/>
          <w:szCs w:val="28"/>
          <w:lang w:val="uk-UA"/>
        </w:rPr>
        <w:t>було пов’язано із сумісною циркуляцією</w:t>
      </w:r>
      <w:r w:rsidR="00EA65CE" w:rsidRPr="00EF431A">
        <w:rPr>
          <w:rFonts w:ascii="Times New Roman" w:hAnsi="Times New Roman"/>
          <w:sz w:val="28"/>
          <w:szCs w:val="28"/>
          <w:lang w:val="uk-UA" w:eastAsia="ru-RU"/>
        </w:rPr>
        <w:t xml:space="preserve"> вірусу </w:t>
      </w:r>
      <w:r w:rsidR="00EA65CE" w:rsidRPr="00EF431A">
        <w:rPr>
          <w:rFonts w:ascii="Times New Roman" w:hAnsi="Times New Roman"/>
          <w:sz w:val="28"/>
          <w:szCs w:val="28"/>
          <w:lang w:eastAsia="ru-RU"/>
        </w:rPr>
        <w:t>SARS</w:t>
      </w:r>
      <w:r w:rsidR="00EA65CE" w:rsidRPr="00EF431A">
        <w:rPr>
          <w:rFonts w:ascii="Times New Roman" w:hAnsi="Times New Roman"/>
          <w:sz w:val="28"/>
          <w:szCs w:val="28"/>
          <w:lang w:val="uk-UA" w:eastAsia="ru-RU"/>
        </w:rPr>
        <w:t>-</w:t>
      </w:r>
      <w:r w:rsidR="00EA65CE" w:rsidRPr="00EF431A">
        <w:rPr>
          <w:rFonts w:ascii="Times New Roman" w:hAnsi="Times New Roman"/>
          <w:sz w:val="28"/>
          <w:szCs w:val="28"/>
          <w:lang w:eastAsia="ru-RU"/>
        </w:rPr>
        <w:t>CoV</w:t>
      </w:r>
      <w:r w:rsidR="00EA65CE" w:rsidRPr="00EF431A">
        <w:rPr>
          <w:rFonts w:ascii="Times New Roman" w:hAnsi="Times New Roman"/>
          <w:sz w:val="28"/>
          <w:szCs w:val="28"/>
          <w:lang w:val="uk-UA" w:eastAsia="ru-RU"/>
        </w:rPr>
        <w:t>-2 та появою перших лабораторно підтверджених випадків грипу</w:t>
      </w:r>
      <w:r w:rsidR="00AD5CC4">
        <w:rPr>
          <w:rFonts w:ascii="Times New Roman" w:hAnsi="Times New Roman"/>
          <w:sz w:val="28"/>
          <w:szCs w:val="28"/>
          <w:lang w:val="uk-UA" w:eastAsia="ru-RU"/>
        </w:rPr>
        <w:t xml:space="preserve"> А (Н3)</w:t>
      </w:r>
      <w:r w:rsidR="00EA65CE" w:rsidRPr="00EF431A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 w:rsidR="00EA65CE" w:rsidRPr="00EF431A">
        <w:rPr>
          <w:rFonts w:ascii="Times New Roman" w:hAnsi="Times New Roman"/>
          <w:sz w:val="28"/>
          <w:szCs w:val="28"/>
          <w:lang w:val="uk-UA"/>
        </w:rPr>
        <w:t xml:space="preserve">що наочно відображено на рис. </w:t>
      </w:r>
      <w:r w:rsidR="00AD5CC4">
        <w:rPr>
          <w:rFonts w:ascii="Times New Roman" w:hAnsi="Times New Roman"/>
          <w:sz w:val="28"/>
          <w:szCs w:val="28"/>
          <w:lang w:val="uk-UA"/>
        </w:rPr>
        <w:t>1.</w:t>
      </w:r>
    </w:p>
    <w:p w:rsidR="00911840" w:rsidRPr="00EC44E2" w:rsidRDefault="00EA65CE" w:rsidP="00EA65C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Пік зареєстрованих випадків ТГРЗ припав на </w:t>
      </w:r>
      <w:r w:rsid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5</w:t>
      </w:r>
      <w:r w:rsidRP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тиж</w:t>
      </w:r>
      <w:r w:rsid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день</w:t>
      </w:r>
      <w:r w:rsidRP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202</w:t>
      </w:r>
      <w:r w:rsid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6</w:t>
      </w:r>
      <w:r w:rsidRP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року (з 2</w:t>
      </w:r>
      <w:r w:rsid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6</w:t>
      </w:r>
      <w:r w:rsidRP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.0</w:t>
      </w:r>
      <w:r w:rsid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</w:t>
      </w:r>
      <w:r w:rsidRP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-</w:t>
      </w:r>
      <w:r w:rsidRP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0</w:t>
      </w:r>
      <w:r w:rsid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</w:t>
      </w:r>
      <w:r w:rsidRP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.0</w:t>
      </w:r>
      <w:r w:rsid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</w:t>
      </w:r>
      <w:r w:rsidRP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.) </w:t>
      </w:r>
      <w:r w:rsidR="001D6CA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та складав (пок. </w:t>
      </w:r>
      <w:r w:rsid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3,8</w:t>
      </w:r>
      <w:r w:rsidRP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на 100 тис.)</w:t>
      </w:r>
      <w:r w:rsidR="00D83FE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</w:t>
      </w:r>
      <w:r w:rsidRPr="00AD5CC4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D6CA0" w:rsidRPr="00EF431A">
        <w:rPr>
          <w:rFonts w:ascii="Times New Roman" w:hAnsi="Times New Roman"/>
          <w:sz w:val="28"/>
          <w:szCs w:val="28"/>
          <w:lang w:val="uk-UA"/>
        </w:rPr>
        <w:t>тем</w:t>
      </w:r>
      <w:r w:rsidR="00D83FE1">
        <w:rPr>
          <w:rFonts w:ascii="Times New Roman" w:hAnsi="Times New Roman"/>
          <w:sz w:val="28"/>
          <w:szCs w:val="28"/>
          <w:lang w:val="uk-UA"/>
        </w:rPr>
        <w:t>п</w:t>
      </w:r>
      <w:r w:rsidR="001D6CA0" w:rsidRPr="00EF431A">
        <w:rPr>
          <w:rFonts w:ascii="Times New Roman" w:hAnsi="Times New Roman"/>
          <w:sz w:val="28"/>
          <w:szCs w:val="28"/>
          <w:lang w:val="uk-UA"/>
        </w:rPr>
        <w:t xml:space="preserve"> приросту захворюваності </w:t>
      </w:r>
      <w:r w:rsidR="001D6CA0">
        <w:rPr>
          <w:rFonts w:ascii="Times New Roman" w:hAnsi="Times New Roman"/>
          <w:sz w:val="28"/>
          <w:szCs w:val="28"/>
          <w:lang w:val="uk-UA"/>
        </w:rPr>
        <w:t xml:space="preserve">складав </w:t>
      </w:r>
      <w:r w:rsidR="001D6CA0" w:rsidRPr="00EF431A">
        <w:rPr>
          <w:rFonts w:ascii="Times New Roman" w:hAnsi="Times New Roman"/>
          <w:bCs/>
          <w:sz w:val="28"/>
          <w:szCs w:val="28"/>
          <w:lang w:val="uk-UA"/>
        </w:rPr>
        <w:t>(Т</w:t>
      </w:r>
      <w:r w:rsidR="001D6CA0" w:rsidRPr="00EF431A">
        <w:rPr>
          <w:rFonts w:ascii="Times New Roman" w:hAnsi="Times New Roman"/>
          <w:bCs/>
          <w:sz w:val="28"/>
          <w:szCs w:val="28"/>
          <w:vertAlign w:val="subscript"/>
          <w:lang w:val="uk-UA"/>
        </w:rPr>
        <w:t>пр./зн</w:t>
      </w:r>
      <w:r w:rsidR="001D6CA0" w:rsidRPr="00EF431A">
        <w:rPr>
          <w:rFonts w:ascii="Times New Roman" w:hAnsi="Times New Roman"/>
          <w:bCs/>
          <w:sz w:val="28"/>
          <w:szCs w:val="28"/>
          <w:lang w:val="uk-UA"/>
        </w:rPr>
        <w:t>. = +</w:t>
      </w:r>
      <w:r w:rsidR="001D6CA0">
        <w:rPr>
          <w:rFonts w:ascii="Times New Roman" w:hAnsi="Times New Roman"/>
          <w:bCs/>
          <w:sz w:val="28"/>
          <w:szCs w:val="28"/>
          <w:lang w:val="uk-UA"/>
        </w:rPr>
        <w:t>41,2</w:t>
      </w:r>
      <w:r w:rsidR="001D6CA0" w:rsidRPr="00EF431A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D6CA0" w:rsidRPr="001D6CA0">
        <w:rPr>
          <w:rFonts w:ascii="Times New Roman" w:hAnsi="Times New Roman"/>
          <w:bCs/>
          <w:sz w:val="28"/>
          <w:szCs w:val="28"/>
          <w:lang w:val="uk-UA"/>
        </w:rPr>
        <w:t>%)</w:t>
      </w:r>
      <w:r w:rsidR="001D6CA0" w:rsidRPr="001D6CA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1D6CA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у порівнянні з минулим тижнем. </w:t>
      </w:r>
      <w:r w:rsidR="00D83FE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 6 тижня 2026 </w:t>
      </w:r>
      <w:r w:rsidR="00D83FE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 xml:space="preserve">року </w:t>
      </w:r>
      <w:bookmarkStart w:id="2" w:name="_Hlk234448191"/>
      <w:r w:rsidR="00D83FE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(02.02. – 08.02.)</w:t>
      </w:r>
      <w:bookmarkEnd w:id="2"/>
      <w:r w:rsidR="00D83FE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і до кінця сезону (17 травня 2026 року) відмічалось поступове зниження інтенсивності показників захворювання</w:t>
      </w:r>
      <w:r w:rsidR="00C164FD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що відповідало завершенню даного епідсезону.</w:t>
      </w:r>
      <w:r w:rsidR="00D83FE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AD3CA2" w:rsidRPr="00EC44E2" w:rsidRDefault="00AD3CA2" w:rsidP="00AD3CA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звітній період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обрані стаціонари 4-х дозорних центрів </w:t>
      </w:r>
      <w:r w:rsidRPr="00EC44E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було госпіталізовано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20 473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хворих </w:t>
      </w:r>
      <w:r w:rsidRPr="00EC44E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(пок.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10</w:t>
      </w:r>
      <w:r w:rsidRPr="00EC44E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,7 на 1000 населення), що 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18,7</w:t>
      </w:r>
      <w:r w:rsidRPr="00EC44E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%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мен</w:t>
      </w:r>
      <w:r w:rsidRPr="00EC44E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ше, ніж у минулому сезоні (пок. госпіталізації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12,7</w:t>
      </w:r>
      <w:r w:rsidRPr="00EC44E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на 1000 населення у 202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5</w:t>
      </w:r>
      <w:r w:rsidRPr="00EC44E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році), з них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14 954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итини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17 років з </w:t>
      </w:r>
      <w:r w:rsidRPr="00EC44E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підозрою на ТГРЗ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(пок. госпіталізації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54,0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1000 нас.)</w:t>
      </w:r>
      <w:r w:rsidRPr="00EC44E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, що становило 73,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0</w:t>
      </w:r>
      <w:r w:rsidRPr="00EC44E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% від усіх госпіталізованих. Показник госпіталізації дорослого населення був очікувано менший (пок. 3,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</w:t>
      </w:r>
      <w:r w:rsidRPr="00EC44E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на 1000 нас.), порівняно з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показником </w:t>
      </w:r>
      <w:r w:rsidRPr="00EC44E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дитяч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ого</w:t>
      </w:r>
      <w:r w:rsidRPr="00EC44E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населення, що пов</w:t>
      </w:r>
      <w:r w:rsidRPr="00EC44E2">
        <w:rPr>
          <w:rFonts w:ascii="Times New Roman" w:eastAsia="Calibri" w:hAnsi="Times New Roman" w:cs="Times New Roman"/>
          <w:sz w:val="28"/>
          <w:szCs w:val="28"/>
          <w:lang w:eastAsia="ru-RU"/>
        </w:rPr>
        <w:t>’</w:t>
      </w:r>
      <w:r w:rsidRPr="00EC44E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язано із насторогою батьків та медичних працівників (рис.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</w:t>
      </w:r>
      <w:r w:rsidRPr="00EC44E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).</w:t>
      </w:r>
    </w:p>
    <w:p w:rsidR="00EC44E2" w:rsidRPr="00EC44E2" w:rsidRDefault="00EC44E2" w:rsidP="00F456C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456C8" w:rsidRPr="00EC44E2" w:rsidRDefault="00C145B2" w:rsidP="00F456C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4E2">
        <w:rPr>
          <w:noProof/>
          <w:sz w:val="28"/>
          <w:szCs w:val="28"/>
        </w:rPr>
        <w:drawing>
          <wp:inline distT="0" distB="0" distL="0" distR="0" wp14:anchorId="696687D3" wp14:editId="43B4C2BE">
            <wp:extent cx="5334000" cy="2590800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243E115B-2286-4127-9C1B-722ED38448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C44E2" w:rsidRPr="00EC44E2" w:rsidRDefault="00EC44E2" w:rsidP="00F456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456C8" w:rsidRPr="00EC44E2" w:rsidRDefault="00F456C8" w:rsidP="0091184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Рис.2. </w:t>
      </w:r>
      <w:r w:rsidR="00D2793C"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Показники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госпіталіз</w:t>
      </w:r>
      <w:r w:rsidR="00D2793C"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ації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дитячого та дорослого населення з ознаками  ТГРЗ у обрані стаціонари в епідсезоні 202</w:t>
      </w:r>
      <w:r w:rsidR="00AD3CA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AD3CA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2026 роках.</w:t>
      </w:r>
    </w:p>
    <w:p w:rsidR="00F456C8" w:rsidRPr="00EC44E2" w:rsidRDefault="00F456C8" w:rsidP="00F456C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164FD" w:rsidRDefault="00C164FD" w:rsidP="00C164FD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7C6EB9">
        <w:rPr>
          <w:rFonts w:ascii="Times New Roman" w:hAnsi="Times New Roman"/>
          <w:sz w:val="28"/>
          <w:szCs w:val="28"/>
          <w:lang w:val="uk-UA"/>
        </w:rPr>
        <w:t xml:space="preserve">На рис.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7C6EB9">
        <w:rPr>
          <w:rFonts w:ascii="Times New Roman" w:hAnsi="Times New Roman"/>
          <w:sz w:val="28"/>
          <w:szCs w:val="28"/>
          <w:lang w:val="uk-UA"/>
        </w:rPr>
        <w:t xml:space="preserve"> наочно представлено щотижневі лабораторні підтвердження випадків грипу та </w:t>
      </w:r>
      <w:r w:rsidRPr="007C6EB9">
        <w:rPr>
          <w:rFonts w:ascii="Times New Roman" w:hAnsi="Times New Roman"/>
          <w:sz w:val="28"/>
          <w:szCs w:val="28"/>
          <w:lang w:val="en-US"/>
        </w:rPr>
        <w:t>COVID</w:t>
      </w:r>
      <w:r w:rsidRPr="007C6EB9">
        <w:rPr>
          <w:rFonts w:ascii="Times New Roman" w:hAnsi="Times New Roman"/>
          <w:sz w:val="28"/>
          <w:szCs w:val="28"/>
          <w:lang w:val="uk-UA"/>
        </w:rPr>
        <w:t>-19 серед хворих, які знаходились на стаціонарному лікуванні із ознаками ТГРЗ  у період з 40 тижня 202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7C6EB9">
        <w:rPr>
          <w:rFonts w:ascii="Times New Roman" w:hAnsi="Times New Roman"/>
          <w:sz w:val="28"/>
          <w:szCs w:val="28"/>
          <w:lang w:val="uk-UA"/>
        </w:rPr>
        <w:t xml:space="preserve"> року по 20 тиждень 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7C6EB9">
        <w:rPr>
          <w:rFonts w:ascii="Times New Roman" w:hAnsi="Times New Roman"/>
          <w:sz w:val="28"/>
          <w:szCs w:val="28"/>
          <w:lang w:val="uk-UA"/>
        </w:rPr>
        <w:t xml:space="preserve"> року, де чітко відслідковуються піки та спади вірусологічних підтверджень, які з’являлися при сумісній циркуляції </w:t>
      </w:r>
      <w:r>
        <w:rPr>
          <w:rFonts w:ascii="Times New Roman" w:hAnsi="Times New Roman"/>
          <w:sz w:val="28"/>
          <w:szCs w:val="28"/>
          <w:lang w:val="uk-UA"/>
        </w:rPr>
        <w:t xml:space="preserve">двох та більше збудників. </w:t>
      </w:r>
    </w:p>
    <w:p w:rsidR="0062012F" w:rsidRDefault="00C164FD" w:rsidP="0062012F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7C6EB9">
        <w:rPr>
          <w:rFonts w:ascii="Times New Roman" w:hAnsi="Times New Roman"/>
          <w:sz w:val="28"/>
          <w:szCs w:val="28"/>
          <w:lang w:val="uk-UA"/>
        </w:rPr>
        <w:lastRenderedPageBreak/>
        <w:t>З графічного зображення (рис.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7C6EB9">
        <w:rPr>
          <w:rFonts w:ascii="Times New Roman" w:hAnsi="Times New Roman"/>
          <w:sz w:val="28"/>
          <w:szCs w:val="28"/>
          <w:lang w:val="uk-UA"/>
        </w:rPr>
        <w:t>) видно,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C6EB9">
        <w:rPr>
          <w:rFonts w:ascii="Times New Roman" w:hAnsi="Times New Roman"/>
          <w:sz w:val="28"/>
          <w:szCs w:val="28"/>
          <w:lang w:val="uk-UA"/>
        </w:rPr>
        <w:t xml:space="preserve">що відсоток вірусологічних підтверджень на </w:t>
      </w:r>
      <w:r w:rsidRPr="007C6EB9">
        <w:rPr>
          <w:rFonts w:ascii="Times New Roman" w:hAnsi="Times New Roman"/>
          <w:sz w:val="28"/>
          <w:szCs w:val="28"/>
          <w:lang w:val="en-US"/>
        </w:rPr>
        <w:t>COVID</w:t>
      </w:r>
      <w:r w:rsidRPr="007C6EB9">
        <w:rPr>
          <w:rFonts w:ascii="Times New Roman" w:hAnsi="Times New Roman"/>
          <w:sz w:val="28"/>
          <w:szCs w:val="28"/>
          <w:lang w:val="uk-UA"/>
        </w:rPr>
        <w:t xml:space="preserve">-19 серед хворих </w:t>
      </w:r>
      <w:r>
        <w:rPr>
          <w:rFonts w:ascii="Times New Roman" w:hAnsi="Times New Roman"/>
          <w:sz w:val="28"/>
          <w:szCs w:val="28"/>
          <w:lang w:val="uk-UA"/>
        </w:rPr>
        <w:t xml:space="preserve">був нетипово раннім та інтенсивним, але починаючи з 48 тижня  2025 року (24.11 – 30.11.) </w:t>
      </w:r>
      <w:r w:rsidRPr="007C6EB9">
        <w:rPr>
          <w:rFonts w:ascii="Times New Roman" w:hAnsi="Times New Roman"/>
          <w:sz w:val="28"/>
          <w:szCs w:val="28"/>
          <w:lang w:val="uk-UA"/>
        </w:rPr>
        <w:t xml:space="preserve">іде на спад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7C6EB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початком </w:t>
      </w:r>
      <w:r w:rsidRPr="007C6EB9">
        <w:rPr>
          <w:rFonts w:ascii="Times New Roman" w:hAnsi="Times New Roman"/>
          <w:sz w:val="28"/>
          <w:szCs w:val="28"/>
          <w:lang w:val="uk-UA"/>
        </w:rPr>
        <w:t>актив</w:t>
      </w:r>
      <w:r>
        <w:rPr>
          <w:rFonts w:ascii="Times New Roman" w:hAnsi="Times New Roman"/>
          <w:sz w:val="28"/>
          <w:szCs w:val="28"/>
          <w:lang w:val="uk-UA"/>
        </w:rPr>
        <w:t xml:space="preserve">ної циркуляції </w:t>
      </w:r>
      <w:r w:rsidRPr="007C6EB9">
        <w:rPr>
          <w:rFonts w:ascii="Times New Roman" w:hAnsi="Times New Roman"/>
          <w:sz w:val="28"/>
          <w:szCs w:val="28"/>
          <w:lang w:val="uk-UA"/>
        </w:rPr>
        <w:t>вірус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7C6EB9">
        <w:rPr>
          <w:rFonts w:ascii="Times New Roman" w:hAnsi="Times New Roman"/>
          <w:sz w:val="28"/>
          <w:szCs w:val="28"/>
          <w:lang w:val="uk-UA"/>
        </w:rPr>
        <w:t xml:space="preserve"> грипу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3" w:name="_Hlk234448316"/>
      <w:r>
        <w:rPr>
          <w:rFonts w:ascii="Times New Roman" w:hAnsi="Times New Roman"/>
          <w:sz w:val="28"/>
          <w:szCs w:val="28"/>
          <w:lang w:val="uk-UA"/>
        </w:rPr>
        <w:t>А(Н</w:t>
      </w:r>
      <w:r>
        <w:rPr>
          <w:rFonts w:ascii="Times New Roman" w:hAnsi="Times New Roman"/>
          <w:sz w:val="28"/>
          <w:szCs w:val="28"/>
          <w:lang w:val="uk-UA"/>
        </w:rPr>
        <w:t>3)</w:t>
      </w:r>
      <w:bookmarkEnd w:id="3"/>
      <w:r>
        <w:rPr>
          <w:rFonts w:ascii="Times New Roman" w:hAnsi="Times New Roman"/>
          <w:sz w:val="28"/>
          <w:szCs w:val="28"/>
          <w:lang w:val="uk-UA"/>
        </w:rPr>
        <w:t xml:space="preserve"> і повністю припиняється на 6 тижні 2026 року </w:t>
      </w:r>
      <w:r w:rsidR="0062012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(02.02. – 08.02.)</w:t>
      </w:r>
      <w:r w:rsidR="0062012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 коли відсоток лабораторних підтверджень вірусу грипу</w:t>
      </w:r>
      <w:r w:rsidR="0062012F" w:rsidRPr="006201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012F">
        <w:rPr>
          <w:rFonts w:ascii="Times New Roman" w:hAnsi="Times New Roman"/>
          <w:sz w:val="28"/>
          <w:szCs w:val="28"/>
          <w:lang w:val="uk-UA"/>
        </w:rPr>
        <w:t>А(Н3)</w:t>
      </w:r>
      <w:r w:rsidR="0062012F">
        <w:rPr>
          <w:rFonts w:ascii="Times New Roman" w:hAnsi="Times New Roman"/>
          <w:sz w:val="28"/>
          <w:szCs w:val="28"/>
          <w:lang w:val="uk-UA"/>
        </w:rPr>
        <w:t xml:space="preserve"> сягає (69,4</w:t>
      </w:r>
      <w:r w:rsidR="0062012F" w:rsidRPr="007C6EB9">
        <w:rPr>
          <w:rFonts w:ascii="Times New Roman" w:hAnsi="Times New Roman"/>
          <w:bCs/>
          <w:sz w:val="28"/>
          <w:szCs w:val="28"/>
          <w:lang w:val="uk-UA"/>
        </w:rPr>
        <w:t>±</w:t>
      </w:r>
      <w:r w:rsidR="0062012F">
        <w:rPr>
          <w:rFonts w:ascii="Times New Roman" w:hAnsi="Times New Roman"/>
          <w:bCs/>
          <w:sz w:val="28"/>
          <w:szCs w:val="28"/>
          <w:lang w:val="uk-UA"/>
        </w:rPr>
        <w:t>2,3)</w:t>
      </w:r>
      <w:r w:rsidR="0062012F">
        <w:rPr>
          <w:rFonts w:ascii="Times New Roman" w:hAnsi="Times New Roman"/>
          <w:sz w:val="28"/>
          <w:szCs w:val="28"/>
          <w:lang w:val="uk-UA"/>
        </w:rPr>
        <w:t>%.</w:t>
      </w:r>
      <w:r w:rsidR="0062012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Ця тенденція притаманна для сумісної циркуляції декількох збудників, коли один домінуючий змінюється іншим більш домінуючим</w:t>
      </w:r>
      <w:r w:rsidR="0062012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2012F" w:rsidRPr="007C6EB9">
        <w:rPr>
          <w:rFonts w:ascii="Times New Roman" w:hAnsi="Times New Roman"/>
          <w:bCs/>
          <w:sz w:val="28"/>
          <w:szCs w:val="28"/>
          <w:lang w:val="uk-UA"/>
        </w:rPr>
        <w:t xml:space="preserve">(рис. </w:t>
      </w:r>
      <w:r w:rsidR="0062012F">
        <w:rPr>
          <w:rFonts w:ascii="Times New Roman" w:hAnsi="Times New Roman"/>
          <w:bCs/>
          <w:sz w:val="28"/>
          <w:szCs w:val="28"/>
          <w:lang w:val="uk-UA"/>
        </w:rPr>
        <w:t>3</w:t>
      </w:r>
      <w:r w:rsidR="0062012F" w:rsidRPr="007C6EB9">
        <w:rPr>
          <w:rFonts w:ascii="Times New Roman" w:hAnsi="Times New Roman"/>
          <w:bCs/>
          <w:sz w:val="28"/>
          <w:szCs w:val="28"/>
          <w:lang w:val="uk-UA"/>
        </w:rPr>
        <w:t>).</w:t>
      </w:r>
    </w:p>
    <w:p w:rsidR="00C164FD" w:rsidRDefault="0062012F" w:rsidP="00C164FD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</w:t>
      </w:r>
      <w:r w:rsidR="00C164FD">
        <w:rPr>
          <w:rFonts w:ascii="Times New Roman" w:hAnsi="Times New Roman"/>
          <w:sz w:val="28"/>
          <w:szCs w:val="28"/>
          <w:lang w:val="uk-UA"/>
        </w:rPr>
        <w:t>тже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C164FD">
        <w:rPr>
          <w:rFonts w:ascii="Times New Roman" w:hAnsi="Times New Roman"/>
          <w:sz w:val="28"/>
          <w:szCs w:val="28"/>
          <w:lang w:val="uk-UA"/>
        </w:rPr>
        <w:t xml:space="preserve"> вже </w:t>
      </w:r>
      <w:r>
        <w:rPr>
          <w:rFonts w:ascii="Times New Roman" w:hAnsi="Times New Roman"/>
          <w:sz w:val="28"/>
          <w:szCs w:val="28"/>
          <w:lang w:val="uk-UA"/>
        </w:rPr>
        <w:t xml:space="preserve">п’ятий </w:t>
      </w:r>
      <w:r w:rsidR="00C164FD">
        <w:rPr>
          <w:rFonts w:ascii="Times New Roman" w:hAnsi="Times New Roman"/>
          <w:sz w:val="28"/>
          <w:szCs w:val="28"/>
          <w:lang w:val="uk-UA"/>
        </w:rPr>
        <w:t xml:space="preserve">сезон поспіль ми спостерігаємо  за цим явищем. </w:t>
      </w:r>
    </w:p>
    <w:p w:rsidR="00F456C8" w:rsidRPr="00EC44E2" w:rsidRDefault="00F456C8" w:rsidP="00F456C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456C8" w:rsidRPr="00EC44E2" w:rsidRDefault="00911840" w:rsidP="00F456C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noProof/>
        </w:rPr>
        <w:drawing>
          <wp:inline distT="0" distB="0" distL="0" distR="0" wp14:anchorId="001D0BD0" wp14:editId="372AD828">
            <wp:extent cx="5657851" cy="2843213"/>
            <wp:effectExtent l="0" t="0" r="0" b="1460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E769FA7-3652-478B-A6A4-D731C9AF97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456C8" w:rsidRPr="00EC44E2" w:rsidRDefault="00F456C8" w:rsidP="00F456C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456C8" w:rsidRPr="00EC44E2" w:rsidRDefault="00F456C8" w:rsidP="0062012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Рис. 3. Відсоток підтверджених випадків грипу та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-19 серед хворих, які знаходились на стаціонарному лікуванні із тяжким гострим респіраторним захворюванням в обраних </w:t>
      </w:r>
      <w:r w:rsidR="009118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стаціонарах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4 міст у епідемічному сезоні 2025-2026 рр.</w:t>
      </w:r>
    </w:p>
    <w:p w:rsidR="00F456C8" w:rsidRPr="00EC44E2" w:rsidRDefault="00F456C8" w:rsidP="00F456C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456C8" w:rsidRPr="00EC44E2" w:rsidRDefault="00F456C8" w:rsidP="00F456C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40 тижня 2025 року по 20 тиждень 2026 року методом ПЛР було обстежено 5</w:t>
      </w:r>
      <w:r w:rsidR="00EB5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75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зразк</w:t>
      </w:r>
      <w:r w:rsidR="00EB5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хворих на ТГРЗ. Всього лабораторно підтверджено 3</w:t>
      </w:r>
      <w:r w:rsidR="002C60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49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="002C60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60,7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%) випадків: </w:t>
      </w:r>
      <w:r w:rsidR="00EB5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68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вип. SARS-CoV-2</w:t>
      </w:r>
      <w:r w:rsidR="002C60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(19,5%)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22</w:t>
      </w:r>
      <w:r w:rsidR="00EB5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вип.- грип А, (з них – 9</w:t>
      </w:r>
      <w:r w:rsidR="00EB5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вип. А(Н3)</w:t>
      </w:r>
      <w:r w:rsidR="00EB5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2 – А(Н1) </w:t>
      </w:r>
      <w:r w:rsidR="00EB57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pdm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2C60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(65,0%),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 вип. – грип В</w:t>
      </w:r>
      <w:r w:rsidR="00EB5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2C60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53 – ГРВІ: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14 вип.- риновіруса, 16 вип. –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RSV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2 – вип. Парагрипу, 3 вип. – мікоплазма, 8 вип -метопневмовірус, 2 вип. - бокавірусу та 11 – ентеровіруса, 7 – вип. – аденовірус (рис.4). </w:t>
      </w:r>
    </w:p>
    <w:p w:rsidR="00F456C8" w:rsidRPr="00EC44E2" w:rsidRDefault="00F456C8" w:rsidP="00F456C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456C8" w:rsidRPr="00EC44E2" w:rsidRDefault="00F456C8" w:rsidP="00F45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b/>
          <w:noProof/>
          <w:sz w:val="28"/>
          <w:szCs w:val="28"/>
          <w:lang w:val="uk-UA" w:eastAsia="ru-RU"/>
        </w:rPr>
        <w:drawing>
          <wp:inline distT="0" distB="0" distL="0" distR="0" wp14:anchorId="18944564" wp14:editId="0B36DC15">
            <wp:extent cx="6096000" cy="23526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56C8" w:rsidRPr="00EC44E2" w:rsidRDefault="00F456C8" w:rsidP="00F456C8">
      <w:pPr>
        <w:spacing w:after="20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456C8" w:rsidRPr="00EC44E2" w:rsidRDefault="00F456C8" w:rsidP="002C6012">
      <w:pPr>
        <w:spacing w:after="20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Рис. 4. Лабораторно-підтверджені випадки грипу та 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EC44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-19 в 4-х дозорних центрах України в сезоні 2025-2026 років (</w:t>
      </w:r>
      <w:hyperlink r:id="rId10" w:history="1">
        <w:r w:rsidRPr="00EC44E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EC44E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EC44E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ukrinfluenzakyiv</w:t>
        </w:r>
        <w:r w:rsidRPr="00EC44E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EC44E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com</w:t>
        </w:r>
        <w:r w:rsidRPr="00EC44E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EC44E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ua</w:t>
        </w:r>
      </w:hyperlink>
      <w:r w:rsidRPr="00EC44E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uk-UA"/>
        </w:rPr>
        <w:t>).</w:t>
      </w:r>
    </w:p>
    <w:p w:rsidR="00F456C8" w:rsidRPr="00EC44E2" w:rsidRDefault="005A6CB4" w:rsidP="00690A4E">
      <w:pPr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4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попри ранній початок сезону, пов'язаний із SARS-CoV-2, упродовж основного зимового періоду домінуючим етіологічним агентом став </w:t>
      </w:r>
      <w:r w:rsidRPr="00690A4E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вірус грипу А</w:t>
      </w:r>
      <w:r w:rsidRPr="00EC4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який припадало понад </w:t>
      </w:r>
      <w:r w:rsidR="00690A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65,0</w:t>
      </w:r>
      <w:r w:rsidRPr="00EC4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усіх лабораторно підтверджених випадків. Частка COVID-19 серед госпіталізованих із ТГРЗ була порівняно невеликою (7,7 %), що свідчить про згасання інтенсивності циркуляції SARS-CoV-2 після ранньої хвилі.</w:t>
      </w:r>
      <w:r w:rsidR="00690A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90A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кінця сезону циркуляція вірусів грипу практично припинилася, а лабораторно підтвердж</w:t>
      </w:r>
      <w:r w:rsidR="00690A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ені</w:t>
      </w:r>
      <w:r w:rsidRPr="00690A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поодинокі випадки різних респіраторних вірусів, </w:t>
      </w:r>
      <w:r w:rsidR="00690A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відповідали</w:t>
      </w:r>
      <w:r w:rsidRPr="00690A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типовому завершенню епідемічного сезону.</w:t>
      </w:r>
    </w:p>
    <w:sectPr w:rsidR="00F456C8" w:rsidRPr="00EC4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025FED"/>
    <w:multiLevelType w:val="multilevel"/>
    <w:tmpl w:val="9A08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39F"/>
    <w:rsid w:val="000441C8"/>
    <w:rsid w:val="00196B21"/>
    <w:rsid w:val="001D6CA0"/>
    <w:rsid w:val="00281380"/>
    <w:rsid w:val="00287701"/>
    <w:rsid w:val="002C6012"/>
    <w:rsid w:val="002F14CF"/>
    <w:rsid w:val="004458E9"/>
    <w:rsid w:val="00445A67"/>
    <w:rsid w:val="005A6CB4"/>
    <w:rsid w:val="006002ED"/>
    <w:rsid w:val="0062012F"/>
    <w:rsid w:val="00690A4E"/>
    <w:rsid w:val="006D72B8"/>
    <w:rsid w:val="00702BD7"/>
    <w:rsid w:val="008A3332"/>
    <w:rsid w:val="00911840"/>
    <w:rsid w:val="009B6DD2"/>
    <w:rsid w:val="00A03BC5"/>
    <w:rsid w:val="00AD3CA2"/>
    <w:rsid w:val="00AD5CC4"/>
    <w:rsid w:val="00BA707B"/>
    <w:rsid w:val="00C145B2"/>
    <w:rsid w:val="00C15190"/>
    <w:rsid w:val="00C164FD"/>
    <w:rsid w:val="00C8339F"/>
    <w:rsid w:val="00CD7965"/>
    <w:rsid w:val="00D2793C"/>
    <w:rsid w:val="00D461C5"/>
    <w:rsid w:val="00D64A5A"/>
    <w:rsid w:val="00D83FE1"/>
    <w:rsid w:val="00EA65CE"/>
    <w:rsid w:val="00EB575D"/>
    <w:rsid w:val="00EC44E2"/>
    <w:rsid w:val="00EF431A"/>
    <w:rsid w:val="00F20279"/>
    <w:rsid w:val="00F4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AA298"/>
  <w15:chartTrackingRefBased/>
  <w15:docId w15:val="{BF87CBA3-C965-4CEF-9F63-1AA3DE05D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01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9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90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8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82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16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3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96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9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2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07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56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7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8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19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6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9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hyperlink" Target="http://www.ukrinfluenzakyiv.com.ua" TargetMode="External"/><Relationship Id="rId10" Type="http://schemas.openxmlformats.org/officeDocument/2006/relationships/hyperlink" Target="http://www.ukrinfluenzakyiv.com.u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753390203790147"/>
          <c:y val="4.8166384690468057E-2"/>
          <c:w val="0.79901037064838054"/>
          <c:h val="0.67477834955669913"/>
        </c:manualLayout>
      </c:layout>
      <c:barChart>
        <c:barDir val="col"/>
        <c:grouping val="clustered"/>
        <c:varyColors val="0"/>
        <c:ser>
          <c:idx val="2"/>
          <c:order val="2"/>
          <c:tx>
            <c:v>грип Н3</c:v>
          </c:tx>
          <c:spPr>
            <a:pattFill prst="pct75">
              <a:fgClr>
                <a:srgbClr val="C00000"/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'ТГРЗ_2025-26'!$F$2:$F$42</c:f>
              <c:numCache>
                <c:formatCode>General</c:formatCode>
                <c:ptCount val="41"/>
                <c:pt idx="20">
                  <c:v>6</c:v>
                </c:pt>
                <c:pt idx="21">
                  <c:v>12</c:v>
                </c:pt>
                <c:pt idx="22">
                  <c:v>10</c:v>
                </c:pt>
                <c:pt idx="23">
                  <c:v>11</c:v>
                </c:pt>
                <c:pt idx="24">
                  <c:v>11</c:v>
                </c:pt>
                <c:pt idx="25">
                  <c:v>11</c:v>
                </c:pt>
                <c:pt idx="26">
                  <c:v>9</c:v>
                </c:pt>
                <c:pt idx="27">
                  <c:v>1</c:v>
                </c:pt>
                <c:pt idx="28">
                  <c:v>5</c:v>
                </c:pt>
                <c:pt idx="29">
                  <c:v>7</c:v>
                </c:pt>
                <c:pt idx="30">
                  <c:v>3</c:v>
                </c:pt>
                <c:pt idx="31">
                  <c:v>2</c:v>
                </c:pt>
                <c:pt idx="32">
                  <c:v>2</c:v>
                </c:pt>
                <c:pt idx="3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7A3-43CB-9DF4-418BB4F1B5B9}"/>
            </c:ext>
          </c:extLst>
        </c:ser>
        <c:ser>
          <c:idx val="3"/>
          <c:order val="3"/>
          <c:tx>
            <c:v>грип А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21"/>
            <c:invertIfNegative val="0"/>
            <c:bubble3D val="0"/>
            <c:spPr>
              <a:solidFill>
                <a:srgbClr val="FFC000"/>
              </a:solidFill>
              <a:ln>
                <a:solidFill>
                  <a:srgbClr val="FFC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C7A3-43CB-9DF4-418BB4F1B5B9}"/>
              </c:ext>
            </c:extLst>
          </c:dPt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'ТГРЗ_2025-26'!$G$2:$G$42</c:f>
              <c:numCache>
                <c:formatCode>General</c:formatCode>
                <c:ptCount val="41"/>
                <c:pt idx="17">
                  <c:v>4</c:v>
                </c:pt>
                <c:pt idx="18">
                  <c:v>6</c:v>
                </c:pt>
                <c:pt idx="19">
                  <c:v>3</c:v>
                </c:pt>
                <c:pt idx="20">
                  <c:v>3</c:v>
                </c:pt>
                <c:pt idx="21">
                  <c:v>10</c:v>
                </c:pt>
                <c:pt idx="22">
                  <c:v>7</c:v>
                </c:pt>
                <c:pt idx="23">
                  <c:v>6</c:v>
                </c:pt>
                <c:pt idx="24">
                  <c:v>4</c:v>
                </c:pt>
                <c:pt idx="25">
                  <c:v>5</c:v>
                </c:pt>
                <c:pt idx="26">
                  <c:v>8</c:v>
                </c:pt>
                <c:pt idx="27">
                  <c:v>18</c:v>
                </c:pt>
                <c:pt idx="28">
                  <c:v>10</c:v>
                </c:pt>
                <c:pt idx="29">
                  <c:v>4</c:v>
                </c:pt>
                <c:pt idx="30">
                  <c:v>11</c:v>
                </c:pt>
                <c:pt idx="31">
                  <c:v>12</c:v>
                </c:pt>
                <c:pt idx="32">
                  <c:v>6</c:v>
                </c:pt>
                <c:pt idx="33">
                  <c:v>6</c:v>
                </c:pt>
                <c:pt idx="34">
                  <c:v>2</c:v>
                </c:pt>
                <c:pt idx="35">
                  <c:v>3</c:v>
                </c:pt>
                <c:pt idx="36">
                  <c:v>2</c:v>
                </c:pt>
                <c:pt idx="38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7A3-43CB-9DF4-418BB4F1B5B9}"/>
            </c:ext>
          </c:extLst>
        </c:ser>
        <c:ser>
          <c:idx val="4"/>
          <c:order val="4"/>
          <c:tx>
            <c:v>грип В</c:v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'ТГРЗ_2025-26'!$H$2:$H$42</c:f>
              <c:numCache>
                <c:formatCode>General</c:formatCode>
                <c:ptCount val="41"/>
                <c:pt idx="37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7A3-43CB-9DF4-418BB4F1B5B9}"/>
            </c:ext>
          </c:extLst>
        </c:ser>
        <c:ser>
          <c:idx val="5"/>
          <c:order val="5"/>
          <c:tx>
            <c:v>SARS-CoV2</c:v>
          </c:tx>
          <c:spPr>
            <a:pattFill prst="sphere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'ТГРЗ_2025-26'!$I$2:$I$42</c:f>
              <c:numCache>
                <c:formatCode>General</c:formatCode>
                <c:ptCount val="41"/>
                <c:pt idx="0">
                  <c:v>7</c:v>
                </c:pt>
                <c:pt idx="1">
                  <c:v>2</c:v>
                </c:pt>
                <c:pt idx="2">
                  <c:v>10</c:v>
                </c:pt>
                <c:pt idx="3">
                  <c:v>6</c:v>
                </c:pt>
                <c:pt idx="4">
                  <c:v>8</c:v>
                </c:pt>
                <c:pt idx="5">
                  <c:v>5</c:v>
                </c:pt>
                <c:pt idx="6">
                  <c:v>4</c:v>
                </c:pt>
                <c:pt idx="7">
                  <c:v>2</c:v>
                </c:pt>
                <c:pt idx="9">
                  <c:v>3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4">
                  <c:v>3</c:v>
                </c:pt>
                <c:pt idx="15">
                  <c:v>2</c:v>
                </c:pt>
                <c:pt idx="16">
                  <c:v>2</c:v>
                </c:pt>
                <c:pt idx="17">
                  <c:v>3</c:v>
                </c:pt>
                <c:pt idx="18">
                  <c:v>2</c:v>
                </c:pt>
                <c:pt idx="21">
                  <c:v>2</c:v>
                </c:pt>
                <c:pt idx="22">
                  <c:v>4</c:v>
                </c:pt>
                <c:pt idx="23">
                  <c:v>2</c:v>
                </c:pt>
                <c:pt idx="24">
                  <c:v>1</c:v>
                </c:pt>
                <c:pt idx="2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7A3-43CB-9DF4-418BB4F1B5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73159999"/>
        <c:axId val="1724834783"/>
      </c:barChart>
      <c:lineChart>
        <c:grouping val="standard"/>
        <c:varyColors val="0"/>
        <c:ser>
          <c:idx val="0"/>
          <c:order val="0"/>
          <c:tx>
            <c:v>сезон 2025-2026</c:v>
          </c:tx>
          <c:spPr>
            <a:ln w="28575" cap="rnd">
              <a:solidFill>
                <a:schemeClr val="tx2"/>
              </a:solidFill>
              <a:round/>
            </a:ln>
            <a:effectLst/>
          </c:spPr>
          <c:marker>
            <c:symbol val="star"/>
            <c:size val="6"/>
            <c:spPr>
              <a:noFill/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'ТГРЗ_2025-26'!$D$2:$D$42</c:f>
              <c:numCache>
                <c:formatCode>0.0</c:formatCode>
                <c:ptCount val="41"/>
                <c:pt idx="0">
                  <c:v>0.47248013221044055</c:v>
                </c:pt>
                <c:pt idx="1">
                  <c:v>0.41998233974261384</c:v>
                </c:pt>
                <c:pt idx="2">
                  <c:v>0.73496909454957415</c:v>
                </c:pt>
                <c:pt idx="3">
                  <c:v>0.52497792467826732</c:v>
                </c:pt>
                <c:pt idx="4">
                  <c:v>0.62997350961392073</c:v>
                </c:pt>
                <c:pt idx="5">
                  <c:v>0.36748454727478708</c:v>
                </c:pt>
                <c:pt idx="6">
                  <c:v>0.41998233974261384</c:v>
                </c:pt>
                <c:pt idx="7">
                  <c:v>0.31498675480696037</c:v>
                </c:pt>
                <c:pt idx="8">
                  <c:v>0.36748454727478708</c:v>
                </c:pt>
                <c:pt idx="9">
                  <c:v>0.99745805688870781</c:v>
                </c:pt>
                <c:pt idx="10">
                  <c:v>0.68247130208174744</c:v>
                </c:pt>
                <c:pt idx="11">
                  <c:v>0.31498675480696037</c:v>
                </c:pt>
                <c:pt idx="12">
                  <c:v>0.78746688701740086</c:v>
                </c:pt>
                <c:pt idx="13">
                  <c:v>1.1024536418243613</c:v>
                </c:pt>
                <c:pt idx="14">
                  <c:v>0.73496909454957415</c:v>
                </c:pt>
                <c:pt idx="15">
                  <c:v>0.9449602644208811</c:v>
                </c:pt>
                <c:pt idx="16">
                  <c:v>0.99745805688870781</c:v>
                </c:pt>
                <c:pt idx="17">
                  <c:v>1.5749337740348017</c:v>
                </c:pt>
                <c:pt idx="18">
                  <c:v>1.522435981566975</c:v>
                </c:pt>
                <c:pt idx="19">
                  <c:v>1.3649426041634949</c:v>
                </c:pt>
                <c:pt idx="20">
                  <c:v>2.152409491180896</c:v>
                </c:pt>
                <c:pt idx="21">
                  <c:v>2.0999116987130693</c:v>
                </c:pt>
                <c:pt idx="22">
                  <c:v>2.6248896233913364</c:v>
                </c:pt>
                <c:pt idx="23">
                  <c:v>2.6773874158591631</c:v>
                </c:pt>
                <c:pt idx="24">
                  <c:v>2.6773874158591631</c:v>
                </c:pt>
                <c:pt idx="25">
                  <c:v>3.7798410576835244</c:v>
                </c:pt>
                <c:pt idx="26">
                  <c:v>2.7298852083269898</c:v>
                </c:pt>
                <c:pt idx="27">
                  <c:v>2.6248896233913364</c:v>
                </c:pt>
                <c:pt idx="28">
                  <c:v>2.2049072836487227</c:v>
                </c:pt>
                <c:pt idx="29">
                  <c:v>2.0474139062452426</c:v>
                </c:pt>
                <c:pt idx="30">
                  <c:v>1.7849249439061088</c:v>
                </c:pt>
                <c:pt idx="31">
                  <c:v>1.522435981566975</c:v>
                </c:pt>
                <c:pt idx="32">
                  <c:v>1.4174403966313216</c:v>
                </c:pt>
                <c:pt idx="33">
                  <c:v>1.0499558493565346</c:v>
                </c:pt>
                <c:pt idx="34">
                  <c:v>1.3124448116956682</c:v>
                </c:pt>
                <c:pt idx="35">
                  <c:v>0.89246247195305439</c:v>
                </c:pt>
                <c:pt idx="36">
                  <c:v>0.41998233974261384</c:v>
                </c:pt>
                <c:pt idx="37">
                  <c:v>0.73496909454957415</c:v>
                </c:pt>
                <c:pt idx="38">
                  <c:v>0.78746688701740086</c:v>
                </c:pt>
                <c:pt idx="39">
                  <c:v>0.62997350961392073</c:v>
                </c:pt>
                <c:pt idx="40">
                  <c:v>0.31498675480696037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C7A3-43CB-9DF4-418BB4F1B5B9}"/>
            </c:ext>
          </c:extLst>
        </c:ser>
        <c:ser>
          <c:idx val="1"/>
          <c:order val="1"/>
          <c:tx>
            <c:v>сезон 2024-2025</c:v>
          </c:tx>
          <c:spPr>
            <a:ln w="28575" cap="rnd">
              <a:solidFill>
                <a:schemeClr val="accent2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'ТГРЗ_2025-26'!$E$2:$E$42</c:f>
              <c:numCache>
                <c:formatCode>General</c:formatCode>
                <c:ptCount val="41"/>
                <c:pt idx="8" formatCode="0.0">
                  <c:v>0.33861786828442159</c:v>
                </c:pt>
                <c:pt idx="9" formatCode="0.0">
                  <c:v>0.24186990591744401</c:v>
                </c:pt>
                <c:pt idx="10" formatCode="0.0">
                  <c:v>0.19349592473395519</c:v>
                </c:pt>
                <c:pt idx="11" formatCode="0.0">
                  <c:v>0.43536583065139917</c:v>
                </c:pt>
                <c:pt idx="12" formatCode="0.0">
                  <c:v>0.91910564248628723</c:v>
                </c:pt>
                <c:pt idx="13" formatCode="0.0">
                  <c:v>0.58048777420186559</c:v>
                </c:pt>
                <c:pt idx="14" formatCode="0.0">
                  <c:v>0.62886175538535438</c:v>
                </c:pt>
                <c:pt idx="15" formatCode="0.0">
                  <c:v>0.77398369893582075</c:v>
                </c:pt>
                <c:pt idx="16" formatCode="0.0">
                  <c:v>0.67723573656884317</c:v>
                </c:pt>
                <c:pt idx="17" formatCode="0.0">
                  <c:v>1.0642275860367536</c:v>
                </c:pt>
                <c:pt idx="18" formatCode="0.0">
                  <c:v>0.72560971775233196</c:v>
                </c:pt>
                <c:pt idx="19" formatCode="0.0">
                  <c:v>0.96747962366977602</c:v>
                </c:pt>
                <c:pt idx="20" formatCode="0.0">
                  <c:v>0.62886175538535438</c:v>
                </c:pt>
                <c:pt idx="21" formatCode="0.0">
                  <c:v>1.5479673978716415</c:v>
                </c:pt>
                <c:pt idx="22" formatCode="0.0">
                  <c:v>2.4186990591744402</c:v>
                </c:pt>
                <c:pt idx="23" formatCode="0.0">
                  <c:v>2.0800811908900183</c:v>
                </c:pt>
                <c:pt idx="24" formatCode="0.0">
                  <c:v>1.4995934166881528</c:v>
                </c:pt>
                <c:pt idx="25" formatCode="0.0">
                  <c:v>2.4186990591744402</c:v>
                </c:pt>
                <c:pt idx="26" formatCode="0.0">
                  <c:v>2.2252031344404846</c:v>
                </c:pt>
                <c:pt idx="27" formatCode="0.0">
                  <c:v>3.1443087769267719</c:v>
                </c:pt>
                <c:pt idx="28" formatCode="0.0">
                  <c:v>3.8699184946791041</c:v>
                </c:pt>
                <c:pt idx="29" formatCode="0.0">
                  <c:v>5.3695119113672565</c:v>
                </c:pt>
                <c:pt idx="30" formatCode="0.0">
                  <c:v>5.4178858925507454</c:v>
                </c:pt>
                <c:pt idx="31" formatCode="0.0">
                  <c:v>4.7406501559819025</c:v>
                </c:pt>
                <c:pt idx="32" formatCode="0.0">
                  <c:v>2.8056909086423505</c:v>
                </c:pt>
                <c:pt idx="33" formatCode="0.0">
                  <c:v>2.5154470215414175</c:v>
                </c:pt>
                <c:pt idx="34" formatCode="0.0">
                  <c:v>1.2577235107707088</c:v>
                </c:pt>
                <c:pt idx="35" formatCode="0.0">
                  <c:v>0.72560971775233196</c:v>
                </c:pt>
                <c:pt idx="36" formatCode="0.0">
                  <c:v>0.82235768011930954</c:v>
                </c:pt>
                <c:pt idx="37" formatCode="0.0">
                  <c:v>0.62886175538535438</c:v>
                </c:pt>
                <c:pt idx="38" formatCode="0.0">
                  <c:v>0.58048777420186559</c:v>
                </c:pt>
                <c:pt idx="39" formatCode="0.0">
                  <c:v>0.5321137930183768</c:v>
                </c:pt>
                <c:pt idx="40" formatCode="0.0">
                  <c:v>0.43536583065139917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7-C7A3-43CB-9DF4-418BB4F1B5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72102287"/>
        <c:axId val="1731011775"/>
      </c:lineChart>
      <c:catAx>
        <c:axId val="167210228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тижні</a:t>
                </a:r>
              </a:p>
            </c:rich>
          </c:tx>
          <c:layout>
            <c:manualLayout>
              <c:xMode val="edge"/>
              <c:yMode val="edge"/>
              <c:x val="0.47620895331774737"/>
              <c:y val="0.8201197574234673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1011775"/>
        <c:crosses val="autoZero"/>
        <c:auto val="1"/>
        <c:lblAlgn val="ctr"/>
        <c:lblOffset val="100"/>
        <c:noMultiLvlLbl val="0"/>
      </c:catAx>
      <c:valAx>
        <c:axId val="1731011775"/>
        <c:scaling>
          <c:orientation val="minMax"/>
          <c:max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Пок. на 100 тис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2102287"/>
        <c:crosses val="autoZero"/>
        <c:crossBetween val="between"/>
      </c:valAx>
      <c:valAx>
        <c:axId val="1724834783"/>
        <c:scaling>
          <c:orientation val="minMax"/>
          <c:max val="5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К-ть позитивних випадків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73159999"/>
        <c:crosses val="max"/>
        <c:crossBetween val="between"/>
      </c:valAx>
      <c:catAx>
        <c:axId val="1773159999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724834783"/>
        <c:crossesAt val="0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v>показник госпіталізації дитячого населення</c:v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877637130801645E-2"/>
                  <c:y val="-1.38888888888889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3F6-4BA8-99BF-FB16E6565231}"/>
                </c:ext>
              </c:extLst>
            </c:dLbl>
            <c:dLbl>
              <c:idx val="1"/>
              <c:layout>
                <c:manualLayout>
                  <c:x val="1.4466546112115732E-2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3F6-4BA8-99BF-FB16E6565231}"/>
                </c:ext>
              </c:extLst>
            </c:dLbl>
            <c:dLbl>
              <c:idx val="2"/>
              <c:layout>
                <c:manualLayout>
                  <c:x val="1.4466546112115732E-2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3F6-4BA8-99BF-FB16E65652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'госпіталізація-2008-2022'!$A$54:$A$56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'госпіталізація-2008-2022'!$B$54:$B$56</c:f>
              <c:numCache>
                <c:formatCode>0.0</c:formatCode>
                <c:ptCount val="3"/>
                <c:pt idx="0" formatCode="General">
                  <c:v>36</c:v>
                </c:pt>
                <c:pt idx="1">
                  <c:v>43.7</c:v>
                </c:pt>
                <c:pt idx="2" formatCode="General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3F6-4BA8-99BF-FB16E6565231}"/>
            </c:ext>
          </c:extLst>
        </c:ser>
        <c:ser>
          <c:idx val="1"/>
          <c:order val="1"/>
          <c:tx>
            <c:v>показник госпіталізації дорослого населення</c:v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877637130801686E-2"/>
                  <c:y val="-9.25925925925934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3F6-4BA8-99BF-FB16E6565231}"/>
                </c:ext>
              </c:extLst>
            </c:dLbl>
            <c:dLbl>
              <c:idx val="1"/>
              <c:layout>
                <c:manualLayout>
                  <c:x val="1.687763713080168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3F6-4BA8-99BF-FB16E6565231}"/>
                </c:ext>
              </c:extLst>
            </c:dLbl>
            <c:dLbl>
              <c:idx val="2"/>
              <c:layout>
                <c:manualLayout>
                  <c:x val="2.4110910186859555E-2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3F6-4BA8-99BF-FB16E656523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'госпіталізація-2008-2022'!$A$54:$A$56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'госпіталізація-2008-2022'!$C$54:$C$56</c:f>
              <c:numCache>
                <c:formatCode>0.0</c:formatCode>
                <c:ptCount val="3"/>
                <c:pt idx="0" formatCode="General">
                  <c:v>4.0999999999999996</c:v>
                </c:pt>
                <c:pt idx="1">
                  <c:v>3.8</c:v>
                </c:pt>
                <c:pt idx="2" formatCode="General">
                  <c:v>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F3F6-4BA8-99BF-FB16E65652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71002368"/>
        <c:axId val="421654432"/>
        <c:axId val="0"/>
      </c:bar3DChart>
      <c:catAx>
        <c:axId val="471002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1654432"/>
        <c:crosses val="autoZero"/>
        <c:auto val="1"/>
        <c:lblAlgn val="ctr"/>
        <c:lblOffset val="100"/>
        <c:noMultiLvlLbl val="0"/>
      </c:catAx>
      <c:valAx>
        <c:axId val="42165443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71002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ТГРЗ</c:v>
          </c:tx>
          <c:spPr>
            <a:solidFill>
              <a:srgbClr val="00B050"/>
            </a:solidFill>
            <a:ln>
              <a:solidFill>
                <a:srgbClr val="002060"/>
              </a:solidFill>
            </a:ln>
            <a:effectLst/>
          </c:spPr>
          <c:invertIfNegative val="0"/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підтвердження!$P$2:$P$42</c:f>
              <c:numCache>
                <c:formatCode>General</c:formatCode>
                <c:ptCount val="41"/>
                <c:pt idx="0">
                  <c:v>9</c:v>
                </c:pt>
                <c:pt idx="1">
                  <c:v>8</c:v>
                </c:pt>
                <c:pt idx="2">
                  <c:v>14</c:v>
                </c:pt>
                <c:pt idx="3">
                  <c:v>10</c:v>
                </c:pt>
                <c:pt idx="4">
                  <c:v>12</c:v>
                </c:pt>
                <c:pt idx="5">
                  <c:v>7</c:v>
                </c:pt>
                <c:pt idx="6">
                  <c:v>8</c:v>
                </c:pt>
                <c:pt idx="7">
                  <c:v>6</c:v>
                </c:pt>
                <c:pt idx="8">
                  <c:v>7</c:v>
                </c:pt>
                <c:pt idx="9">
                  <c:v>19</c:v>
                </c:pt>
                <c:pt idx="10">
                  <c:v>13</c:v>
                </c:pt>
                <c:pt idx="11">
                  <c:v>6</c:v>
                </c:pt>
                <c:pt idx="12">
                  <c:v>15</c:v>
                </c:pt>
                <c:pt idx="13">
                  <c:v>21</c:v>
                </c:pt>
                <c:pt idx="14">
                  <c:v>14</c:v>
                </c:pt>
                <c:pt idx="15">
                  <c:v>18</c:v>
                </c:pt>
                <c:pt idx="16">
                  <c:v>19</c:v>
                </c:pt>
                <c:pt idx="17">
                  <c:v>30</c:v>
                </c:pt>
                <c:pt idx="18">
                  <c:v>29</c:v>
                </c:pt>
                <c:pt idx="19">
                  <c:v>26</c:v>
                </c:pt>
                <c:pt idx="20">
                  <c:v>41</c:v>
                </c:pt>
                <c:pt idx="21">
                  <c:v>40</c:v>
                </c:pt>
                <c:pt idx="22">
                  <c:v>50</c:v>
                </c:pt>
                <c:pt idx="23">
                  <c:v>51</c:v>
                </c:pt>
                <c:pt idx="24">
                  <c:v>51</c:v>
                </c:pt>
                <c:pt idx="25">
                  <c:v>72</c:v>
                </c:pt>
                <c:pt idx="26">
                  <c:v>52</c:v>
                </c:pt>
                <c:pt idx="27">
                  <c:v>50</c:v>
                </c:pt>
                <c:pt idx="28">
                  <c:v>42</c:v>
                </c:pt>
                <c:pt idx="29">
                  <c:v>39</c:v>
                </c:pt>
                <c:pt idx="30">
                  <c:v>34</c:v>
                </c:pt>
                <c:pt idx="31">
                  <c:v>29</c:v>
                </c:pt>
                <c:pt idx="32">
                  <c:v>27</c:v>
                </c:pt>
                <c:pt idx="33">
                  <c:v>20</c:v>
                </c:pt>
                <c:pt idx="34">
                  <c:v>20</c:v>
                </c:pt>
                <c:pt idx="35">
                  <c:v>17</c:v>
                </c:pt>
                <c:pt idx="36">
                  <c:v>8</c:v>
                </c:pt>
                <c:pt idx="37">
                  <c:v>14</c:v>
                </c:pt>
                <c:pt idx="38">
                  <c:v>15</c:v>
                </c:pt>
                <c:pt idx="39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9F-4EF7-8F2F-4E0B03E18D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1777904"/>
        <c:axId val="183479440"/>
      </c:barChart>
      <c:lineChart>
        <c:grouping val="stacked"/>
        <c:varyColors val="0"/>
        <c:ser>
          <c:idx val="2"/>
          <c:order val="2"/>
          <c:tx>
            <c:v>SARS-CoV-2</c:v>
          </c:tx>
          <c:spPr>
            <a:ln w="28575" cap="rnd" cmpd="dbl">
              <a:solidFill>
                <a:srgbClr val="002060"/>
              </a:solidFill>
              <a:prstDash val="lgDash"/>
              <a:round/>
            </a:ln>
            <a:effectLst>
              <a:outerShdw blurRad="50800" dist="50800" dir="5400000" algn="ctr" rotWithShape="0">
                <a:schemeClr val="accent6">
                  <a:lumMod val="75000"/>
                </a:schemeClr>
              </a:outerShdw>
            </a:effectLst>
          </c:spPr>
          <c:marker>
            <c:symbol val="none"/>
          </c:marker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підтвердження!$R$2:$R$36</c:f>
              <c:numCache>
                <c:formatCode>0.0</c:formatCode>
                <c:ptCount val="35"/>
                <c:pt idx="0">
                  <c:v>77.777777777777771</c:v>
                </c:pt>
                <c:pt idx="1">
                  <c:v>25</c:v>
                </c:pt>
                <c:pt idx="2">
                  <c:v>71.428571428571431</c:v>
                </c:pt>
                <c:pt idx="3">
                  <c:v>60</c:v>
                </c:pt>
                <c:pt idx="4">
                  <c:v>66.666666666666671</c:v>
                </c:pt>
                <c:pt idx="5">
                  <c:v>71.428571428571431</c:v>
                </c:pt>
                <c:pt idx="6">
                  <c:v>50</c:v>
                </c:pt>
                <c:pt idx="7">
                  <c:v>16.666666666666668</c:v>
                </c:pt>
                <c:pt idx="8">
                  <c:v>14.285714285714286</c:v>
                </c:pt>
                <c:pt idx="9">
                  <c:v>11.764705882352942</c:v>
                </c:pt>
                <c:pt idx="10">
                  <c:v>14.285714285714286</c:v>
                </c:pt>
                <c:pt idx="11">
                  <c:v>22.222222222222221</c:v>
                </c:pt>
                <c:pt idx="12">
                  <c:v>20</c:v>
                </c:pt>
                <c:pt idx="13">
                  <c:v>0</c:v>
                </c:pt>
                <c:pt idx="14">
                  <c:v>50</c:v>
                </c:pt>
                <c:pt idx="15">
                  <c:v>20</c:v>
                </c:pt>
                <c:pt idx="16">
                  <c:v>9.0909090909090917</c:v>
                </c:pt>
                <c:pt idx="17">
                  <c:v>9</c:v>
                </c:pt>
                <c:pt idx="18">
                  <c:v>4</c:v>
                </c:pt>
                <c:pt idx="19">
                  <c:v>0</c:v>
                </c:pt>
                <c:pt idx="20">
                  <c:v>0</c:v>
                </c:pt>
                <c:pt idx="21">
                  <c:v>3.1</c:v>
                </c:pt>
                <c:pt idx="22">
                  <c:v>13</c:v>
                </c:pt>
                <c:pt idx="23">
                  <c:v>8</c:v>
                </c:pt>
                <c:pt idx="24">
                  <c:v>5</c:v>
                </c:pt>
                <c:pt idx="25">
                  <c:v>4.3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79F-4EF7-8F2F-4E0B03E18D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1777904"/>
        <c:axId val="183479440"/>
      </c:lineChart>
      <c:lineChart>
        <c:grouping val="stacked"/>
        <c:varyColors val="0"/>
        <c:ser>
          <c:idx val="1"/>
          <c:order val="1"/>
          <c:tx>
            <c:v>грип</c:v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75000"/>
                </a:schemeClr>
              </a:solidFill>
              <a:ln w="9525" cmpd="thickThin">
                <a:solidFill>
                  <a:srgbClr val="C00000"/>
                </a:solidFill>
              </a:ln>
              <a:effectLst/>
            </c:spPr>
          </c:marker>
          <c:val>
            <c:numRef>
              <c:f>підтвердження!$Q$2:$Q$42</c:f>
              <c:numCache>
                <c:formatCode>General</c:formatCode>
                <c:ptCount val="41"/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 formatCode="0.0">
                  <c:v>0</c:v>
                </c:pt>
                <c:pt idx="16" formatCode="0.0">
                  <c:v>0</c:v>
                </c:pt>
                <c:pt idx="17" formatCode="0.0">
                  <c:v>18.2</c:v>
                </c:pt>
                <c:pt idx="18" formatCode="0.0">
                  <c:v>13</c:v>
                </c:pt>
                <c:pt idx="19" formatCode="0.0">
                  <c:v>15</c:v>
                </c:pt>
                <c:pt idx="20" formatCode="0.0">
                  <c:v>37.5</c:v>
                </c:pt>
                <c:pt idx="21" formatCode="0.0">
                  <c:v>68.75</c:v>
                </c:pt>
                <c:pt idx="22" formatCode="0.0">
                  <c:v>54.838709677419352</c:v>
                </c:pt>
                <c:pt idx="23" formatCode="0.0">
                  <c:v>45.161290322580648</c:v>
                </c:pt>
                <c:pt idx="24" formatCode="0.0">
                  <c:v>64</c:v>
                </c:pt>
                <c:pt idx="25" formatCode="0.0">
                  <c:v>69.444444444444443</c:v>
                </c:pt>
                <c:pt idx="26" formatCode="0.0">
                  <c:v>66.666666666666671</c:v>
                </c:pt>
                <c:pt idx="27" formatCode="0.0">
                  <c:v>64.516129032258064</c:v>
                </c:pt>
                <c:pt idx="28" formatCode="0.0">
                  <c:v>68.181818181818187</c:v>
                </c:pt>
                <c:pt idx="29" formatCode="0.0">
                  <c:v>52.173913043478258</c:v>
                </c:pt>
                <c:pt idx="30" formatCode="0.0">
                  <c:v>56.521739130434781</c:v>
                </c:pt>
                <c:pt idx="31" formatCode="0.0">
                  <c:v>61.904761904761905</c:v>
                </c:pt>
                <c:pt idx="32" formatCode="0.0">
                  <c:v>47.058823529411768</c:v>
                </c:pt>
                <c:pt idx="33" formatCode="0.0">
                  <c:v>47.058823529411768</c:v>
                </c:pt>
                <c:pt idx="34" formatCode="0.0">
                  <c:v>10</c:v>
                </c:pt>
                <c:pt idx="35" formatCode="0.0">
                  <c:v>33.333333333333336</c:v>
                </c:pt>
                <c:pt idx="36" formatCode="0.0">
                  <c:v>33.333333333333336</c:v>
                </c:pt>
                <c:pt idx="37" formatCode="0.0">
                  <c:v>12.5</c:v>
                </c:pt>
                <c:pt idx="38" formatCode="0.0">
                  <c:v>15.384615384615385</c:v>
                </c:pt>
                <c:pt idx="39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579F-4EF7-8F2F-4E0B03E18D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04169424"/>
        <c:axId val="183474032"/>
      </c:lineChart>
      <c:catAx>
        <c:axId val="1517779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/>
                  <a:t>тиждні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3479440"/>
        <c:crosses val="autoZero"/>
        <c:auto val="1"/>
        <c:lblAlgn val="ctr"/>
        <c:lblOffset val="100"/>
        <c:noMultiLvlLbl val="0"/>
      </c:catAx>
      <c:valAx>
        <c:axId val="183479440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ТГРЗ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777904"/>
        <c:crosses val="autoZero"/>
        <c:crossBetween val="between"/>
      </c:valAx>
      <c:valAx>
        <c:axId val="183474032"/>
        <c:scaling>
          <c:orientation val="minMax"/>
          <c:max val="10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%</a:t>
                </a:r>
                <a:r>
                  <a:rPr lang="ru-RU" baseline="0"/>
                  <a:t> позитивних випадків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04169424"/>
        <c:crosses val="max"/>
        <c:crossBetween val="between"/>
      </c:valAx>
      <c:catAx>
        <c:axId val="21041694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834740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2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6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2026-07-04T15:32:00Z</dcterms:created>
  <dcterms:modified xsi:type="dcterms:W3CDTF">2026-07-08T21:49:00Z</dcterms:modified>
</cp:coreProperties>
</file>