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</w:rPr>
      </w:pPr>
    </w:p>
    <w:p w:rsidR="00703BDF" w:rsidRPr="00BF0076" w:rsidRDefault="00703BDF" w:rsidP="00703BDF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:rsidR="00703BDF" w:rsidRPr="00EB5A10" w:rsidRDefault="00703BDF" w:rsidP="00703BDF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:rsidR="00703BDF" w:rsidRPr="00EB5A10" w:rsidRDefault="00703BDF" w:rsidP="00703BDF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:rsidR="00703BDF" w:rsidRPr="00EB5A10" w:rsidRDefault="00703BDF" w:rsidP="00703BDF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:rsidR="00703BDF" w:rsidRPr="00EB5A10" w:rsidRDefault="00703BDF" w:rsidP="00703BDF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50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:rsidR="00703BDF" w:rsidRPr="00EB5A10" w:rsidRDefault="00703BDF" w:rsidP="00703BDF">
      <w:pPr>
        <w:jc w:val="center"/>
        <w:rPr>
          <w:b/>
          <w:color w:val="365F91"/>
          <w:sz w:val="28"/>
          <w:szCs w:val="28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Pr="00EB5A10" w:rsidRDefault="00703BDF" w:rsidP="00703BDF">
      <w:pPr>
        <w:jc w:val="center"/>
        <w:rPr>
          <w:b/>
          <w:sz w:val="28"/>
          <w:szCs w:val="28"/>
          <w:lang w:val="uk-UA"/>
        </w:rPr>
      </w:pPr>
    </w:p>
    <w:p w:rsidR="00703BDF" w:rsidRDefault="00703BDF" w:rsidP="00703BDF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703BDF" w:rsidRDefault="00703BDF" w:rsidP="00703BDF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703BDF" w:rsidRDefault="00703BDF" w:rsidP="00703BDF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703BDF" w:rsidRDefault="00703BDF" w:rsidP="00703BDF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703BDF" w:rsidRPr="00884D70" w:rsidRDefault="00703BDF" w:rsidP="00703BDF">
      <w:pPr>
        <w:spacing w:after="200" w:line="276" w:lineRule="auto"/>
        <w:jc w:val="center"/>
        <w:rPr>
          <w:lang w:val="uk-UA" w:eastAsia="en-US"/>
        </w:rPr>
      </w:pPr>
    </w:p>
    <w:p w:rsidR="00703BDF" w:rsidRPr="00884D70" w:rsidRDefault="00703BDF" w:rsidP="00703BDF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5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proofErr w:type="spellStart"/>
        <w:r w:rsidRPr="00843347">
          <w:rPr>
            <w:rStyle w:val="a3"/>
            <w:lang w:val="en-US" w:eastAsia="en-US"/>
          </w:rPr>
          <w:t>ukrinfluenzakyiv</w:t>
        </w:r>
        <w:proofErr w:type="spellEnd"/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:rsidR="00703BDF" w:rsidRPr="00884D70" w:rsidRDefault="00703BDF" w:rsidP="00703BDF">
      <w:pPr>
        <w:spacing w:after="200"/>
        <w:jc w:val="center"/>
        <w:rPr>
          <w:lang w:val="uk-UA" w:eastAsia="en-US"/>
        </w:rPr>
      </w:pP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926A2">
        <w:rPr>
          <w:lang w:val="uk-UA"/>
        </w:rPr>
        <w:t>проєкту</w:t>
      </w:r>
      <w:proofErr w:type="spellEnd"/>
      <w:r w:rsidRPr="00D926A2">
        <w:rPr>
          <w:lang w:val="uk-UA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926A2">
        <w:rPr>
          <w:lang w:val="uk-UA"/>
        </w:rPr>
        <w:t>case-based</w:t>
      </w:r>
      <w:proofErr w:type="spellEnd"/>
      <w:r w:rsidRPr="00D926A2">
        <w:rPr>
          <w:lang w:val="uk-UA"/>
        </w:rPr>
        <w:t xml:space="preserve"> </w:t>
      </w:r>
      <w:proofErr w:type="spellStart"/>
      <w:r w:rsidRPr="00D926A2">
        <w:rPr>
          <w:lang w:val="uk-UA"/>
        </w:rPr>
        <w:t>surveillance</w:t>
      </w:r>
      <w:proofErr w:type="spellEnd"/>
      <w:r w:rsidRPr="00D926A2">
        <w:rPr>
          <w:lang w:val="uk-UA"/>
        </w:rPr>
        <w:t>).</w:t>
      </w: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926A2">
        <w:rPr>
          <w:lang w:val="uk-UA"/>
        </w:rPr>
        <w:t>риновірусами</w:t>
      </w:r>
      <w:proofErr w:type="spellEnd"/>
      <w:r w:rsidRPr="00D926A2">
        <w:rPr>
          <w:lang w:val="uk-UA"/>
        </w:rPr>
        <w:t xml:space="preserve">, RS-вірусами, </w:t>
      </w:r>
      <w:proofErr w:type="spellStart"/>
      <w:r w:rsidRPr="00D926A2">
        <w:rPr>
          <w:lang w:val="uk-UA"/>
        </w:rPr>
        <w:t>метапневмовірусами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бокавірусами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коронавірусами</w:t>
      </w:r>
      <w:proofErr w:type="spellEnd"/>
      <w:r w:rsidRPr="00D926A2">
        <w:rPr>
          <w:lang w:val="uk-UA"/>
        </w:rPr>
        <w:t xml:space="preserve"> людини OC43, 229E, NL63, HKU1, у тому числі - вірусами SARS-CoV-2, що викликає COVID-19.</w:t>
      </w:r>
    </w:p>
    <w:p w:rsidR="00703BDF" w:rsidRPr="00884D70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50 тижні (</w:t>
      </w:r>
      <w:r w:rsidRPr="00BA7D5D">
        <w:t>0</w:t>
      </w:r>
      <w:r>
        <w:rPr>
          <w:lang w:val="uk-UA"/>
        </w:rPr>
        <w:t>9.1</w:t>
      </w:r>
      <w:r w:rsidRPr="00BA7D5D">
        <w:t>2</w:t>
      </w:r>
      <w:r>
        <w:rPr>
          <w:lang w:val="uk-UA"/>
        </w:rPr>
        <w:t>. – 15.1</w:t>
      </w:r>
      <w:r w:rsidRPr="00A028C5">
        <w:t>2</w:t>
      </w:r>
      <w:r>
        <w:rPr>
          <w:lang w:val="uk-UA"/>
        </w:rPr>
        <w:t>.2024 р.) було здійснено 662 амбулаторних візитів.</w:t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 xml:space="preserve">міст на 50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647 хворих,</w:t>
      </w:r>
      <w:r w:rsidRPr="00BE427C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Pr="00342E59">
        <w:rPr>
          <w:lang w:val="uk-UA"/>
        </w:rPr>
        <w:t>2,</w:t>
      </w:r>
      <w:r>
        <w:rPr>
          <w:lang w:val="uk-UA"/>
        </w:rPr>
        <w:t>9 % менше, ніж на минулому тижні, з них 488 дітей до 17 років</w:t>
      </w:r>
      <w:r w:rsidRPr="00B931BA">
        <w:rPr>
          <w:lang w:val="uk-UA"/>
        </w:rPr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>, що становило 75,4% від усіх госпіталізованих.</w:t>
      </w:r>
      <w:r w:rsidRPr="000A47F5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>дала 1,5 %.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10 </w:t>
      </w:r>
      <w:r w:rsidRPr="00452419">
        <w:rPr>
          <w:lang w:val="uk-UA"/>
        </w:rPr>
        <w:t>(</w:t>
      </w:r>
      <w:proofErr w:type="spellStart"/>
      <w:r w:rsidRPr="00452419">
        <w:rPr>
          <w:lang w:val="uk-UA"/>
        </w:rPr>
        <w:t>пок</w:t>
      </w:r>
      <w:proofErr w:type="spellEnd"/>
      <w:r w:rsidRPr="00452419">
        <w:rPr>
          <w:lang w:val="uk-UA"/>
        </w:rPr>
        <w:t xml:space="preserve">. </w:t>
      </w:r>
      <w:r>
        <w:rPr>
          <w:lang w:val="uk-UA"/>
        </w:rPr>
        <w:t>0,5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ТГРЗ, з них 5 (</w:t>
      </w:r>
      <w:proofErr w:type="spellStart"/>
      <w:r>
        <w:rPr>
          <w:lang w:val="uk-UA"/>
        </w:rPr>
        <w:t>пок</w:t>
      </w:r>
      <w:proofErr w:type="spellEnd"/>
      <w:r>
        <w:rPr>
          <w:lang w:val="uk-UA"/>
        </w:rPr>
        <w:t xml:space="preserve">. 1,1 на 100 тис.) дітей до 17 років. Лабораторно підтверджено </w:t>
      </w:r>
      <w:r w:rsidR="00DA0E70">
        <w:rPr>
          <w:lang w:val="uk-UA"/>
        </w:rPr>
        <w:t>2</w:t>
      </w:r>
      <w:r>
        <w:rPr>
          <w:lang w:val="uk-UA"/>
        </w:rPr>
        <w:t xml:space="preserve"> – вірус</w:t>
      </w:r>
      <w:r w:rsidR="00DA0E70">
        <w:rPr>
          <w:lang w:val="uk-UA"/>
        </w:rPr>
        <w:t>и</w:t>
      </w:r>
      <w:r>
        <w:rPr>
          <w:lang w:val="uk-UA"/>
        </w:rPr>
        <w:t xml:space="preserve"> грипу А</w:t>
      </w:r>
      <w:r w:rsidR="00DA0E70">
        <w:rPr>
          <w:lang w:val="uk-UA"/>
        </w:rPr>
        <w:t>(Н3) та 1 – вірус грипу В</w:t>
      </w:r>
      <w:r>
        <w:rPr>
          <w:lang w:val="uk-UA"/>
        </w:rPr>
        <w:t xml:space="preserve"> (рис. 1). </w:t>
      </w:r>
    </w:p>
    <w:p w:rsidR="00703BDF" w:rsidRDefault="00703BDF" w:rsidP="00703BDF">
      <w:pPr>
        <w:spacing w:line="276" w:lineRule="auto"/>
        <w:jc w:val="both"/>
        <w:rPr>
          <w:lang w:val="uk-UA"/>
        </w:rPr>
      </w:pPr>
    </w:p>
    <w:p w:rsidR="00703BDF" w:rsidRPr="00703BDF" w:rsidRDefault="00DA0E70" w:rsidP="00703BDF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0CBCCE4B" wp14:editId="17CE4D5F">
            <wp:extent cx="5686425" cy="2809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3BDF" w:rsidRDefault="00703BDF" w:rsidP="00703BDF">
      <w:pPr>
        <w:spacing w:line="276" w:lineRule="auto"/>
        <w:ind w:firstLine="567"/>
        <w:jc w:val="both"/>
        <w:rPr>
          <w:noProof/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:rsidR="00703BDF" w:rsidRDefault="00DA0E70" w:rsidP="00703BDF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5280AF50" wp14:editId="2DD2803B">
            <wp:extent cx="5229225" cy="2333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4B1910" w:rsidRDefault="00703BDF" w:rsidP="00703BDF">
      <w:pPr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. На </w:t>
      </w:r>
      <w:r w:rsidR="00DA0E70">
        <w:rPr>
          <w:lang w:val="uk-UA"/>
        </w:rPr>
        <w:t>50</w:t>
      </w:r>
      <w:r>
        <w:rPr>
          <w:lang w:val="uk-UA"/>
        </w:rPr>
        <w:t xml:space="preserve"> тижні було підтверджено </w:t>
      </w:r>
      <w:r w:rsidR="00DA0E70">
        <w:rPr>
          <w:lang w:val="uk-UA"/>
        </w:rPr>
        <w:t xml:space="preserve">2 </w:t>
      </w:r>
      <w:r w:rsidR="001304C3">
        <w:rPr>
          <w:lang w:val="uk-UA"/>
        </w:rPr>
        <w:t>випадки</w:t>
      </w:r>
      <w:r w:rsidR="00DA0E70">
        <w:rPr>
          <w:lang w:val="uk-UA"/>
        </w:rPr>
        <w:t xml:space="preserve"> грипу А(Н3)</w:t>
      </w:r>
      <w:r>
        <w:rPr>
          <w:lang w:val="uk-UA"/>
        </w:rPr>
        <w:t xml:space="preserve">. </w:t>
      </w:r>
      <w:r w:rsidR="001304C3">
        <w:rPr>
          <w:lang w:val="uk-UA"/>
        </w:rPr>
        <w:t>Отже, щотижня реєструються віруси грипу</w:t>
      </w:r>
      <w:r w:rsidR="00DA0E70">
        <w:rPr>
          <w:lang w:val="uk-UA"/>
        </w:rPr>
        <w:t xml:space="preserve">, що вказує </w:t>
      </w:r>
      <w:r w:rsidR="001304C3">
        <w:rPr>
          <w:lang w:val="uk-UA"/>
        </w:rPr>
        <w:t>на наближення підйому захворюваності за рахунок їх активізації</w:t>
      </w:r>
      <w:r w:rsidR="00DA0E70">
        <w:rPr>
          <w:lang w:val="uk-UA"/>
        </w:rPr>
        <w:t xml:space="preserve"> </w:t>
      </w:r>
      <w:bookmarkStart w:id="0" w:name="_GoBack"/>
      <w:bookmarkEnd w:id="0"/>
      <w:r w:rsidR="00DA0E70">
        <w:rPr>
          <w:lang w:val="uk-UA"/>
        </w:rPr>
        <w:t xml:space="preserve">(рис. 3). </w:t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DA0E70" w:rsidRDefault="00DA0E70" w:rsidP="00703BDF">
      <w:pPr>
        <w:spacing w:line="276" w:lineRule="auto"/>
        <w:ind w:firstLine="567"/>
        <w:jc w:val="both"/>
      </w:pPr>
      <w:r>
        <w:rPr>
          <w:noProof/>
        </w:rPr>
        <w:drawing>
          <wp:inline distT="0" distB="0" distL="0" distR="0" wp14:anchorId="6FEA9695" wp14:editId="303DAE14">
            <wp:extent cx="5619750" cy="25050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3BDF" w:rsidRPr="00244F04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:rsidR="00703BDF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820FCE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 xml:space="preserve">50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 w:rsidR="003B641F">
        <w:rPr>
          <w:lang w:val="uk-UA"/>
        </w:rPr>
        <w:t>53 зразки</w:t>
      </w:r>
      <w:r>
        <w:rPr>
          <w:lang w:val="uk-UA"/>
        </w:rPr>
        <w:t xml:space="preserve">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1</w:t>
      </w:r>
      <w:r w:rsidR="003B641F">
        <w:rPr>
          <w:lang w:val="uk-UA"/>
        </w:rPr>
        <w:t>3</w:t>
      </w:r>
      <w:r>
        <w:rPr>
          <w:lang w:val="uk-UA"/>
        </w:rPr>
        <w:t xml:space="preserve"> (</w:t>
      </w:r>
      <w:r w:rsidR="003B641F">
        <w:rPr>
          <w:lang w:val="uk-UA"/>
        </w:rPr>
        <w:t xml:space="preserve">24,5 </w:t>
      </w:r>
      <w:r>
        <w:rPr>
          <w:lang w:val="uk-UA"/>
        </w:rPr>
        <w:t>%) випадків: 3 вип. - SARS-CoV-2, 1 вип. – грип А(Н1)</w:t>
      </w:r>
      <w:proofErr w:type="spellStart"/>
      <w:r>
        <w:rPr>
          <w:lang w:val="en-US"/>
        </w:rPr>
        <w:t>pdm</w:t>
      </w:r>
      <w:proofErr w:type="spellEnd"/>
      <w:r>
        <w:rPr>
          <w:lang w:val="uk-UA"/>
        </w:rPr>
        <w:t>,</w:t>
      </w:r>
      <w:r w:rsidRPr="00703BDF">
        <w:rPr>
          <w:lang w:val="uk-UA"/>
        </w:rPr>
        <w:t xml:space="preserve"> </w:t>
      </w:r>
      <w:r w:rsidR="003B641F">
        <w:rPr>
          <w:lang w:val="uk-UA"/>
        </w:rPr>
        <w:t>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грип А</w:t>
      </w:r>
      <w:r w:rsidR="003B641F">
        <w:rPr>
          <w:lang w:val="uk-UA"/>
        </w:rPr>
        <w:t>(Н3)</w:t>
      </w:r>
      <w:r>
        <w:rPr>
          <w:lang w:val="uk-UA"/>
        </w:rPr>
        <w:t xml:space="preserve">, </w:t>
      </w:r>
      <w:r w:rsidR="003B641F">
        <w:rPr>
          <w:lang w:val="uk-UA"/>
        </w:rPr>
        <w:t xml:space="preserve">1 вип. – грип В, </w:t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</w:t>
      </w:r>
      <w:proofErr w:type="spellStart"/>
      <w:r>
        <w:rPr>
          <w:lang w:val="uk-UA"/>
        </w:rPr>
        <w:t>риновірусної</w:t>
      </w:r>
      <w:proofErr w:type="spellEnd"/>
      <w:r>
        <w:rPr>
          <w:lang w:val="uk-UA"/>
        </w:rPr>
        <w:t xml:space="preserve"> інфекції,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аденовірусу та  1 вип. - парагрип. </w:t>
      </w:r>
    </w:p>
    <w:p w:rsidR="00703BDF" w:rsidRPr="009F036C" w:rsidRDefault="00703BDF" w:rsidP="00703BDF">
      <w:pPr>
        <w:rPr>
          <w:lang w:val="uk-UA"/>
        </w:rPr>
      </w:pPr>
    </w:p>
    <w:p w:rsidR="00703BDF" w:rsidRPr="0008257B" w:rsidRDefault="00703BDF" w:rsidP="00703BDF">
      <w:pPr>
        <w:rPr>
          <w:lang w:val="uk-UA"/>
        </w:rPr>
      </w:pP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F5125E">
        <w:rPr>
          <w:lang w:val="uk-UA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 w:rsidR="00F5125E" w:rsidRPr="00F5125E">
        <w:rPr>
          <w:lang w:val="uk-UA"/>
        </w:rPr>
        <w:t>ів грипу та COVID-19 станом на 50</w:t>
      </w:r>
      <w:r w:rsidRPr="00F5125E">
        <w:rPr>
          <w:lang w:val="uk-UA"/>
        </w:rPr>
        <w:t xml:space="preserve"> тиждень 2024 р. з початку епідемічного сезону.</w:t>
      </w: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D926A2" w:rsidRDefault="00F5125E" w:rsidP="00703BDF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5A866A2C" wp14:editId="71A4044E">
            <wp:extent cx="5940425" cy="3535807"/>
            <wp:effectExtent l="0" t="0" r="22225" b="26670"/>
            <wp:docPr id="4" name="Диаграмма 4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 w:rsidR="00F5125E">
        <w:rPr>
          <w:lang w:val="uk-UA"/>
        </w:rPr>
        <w:t xml:space="preserve">ів грипу та COVID-19 станом на </w:t>
      </w:r>
      <w:r w:rsidR="00F5125E" w:rsidRPr="00F5125E">
        <w:rPr>
          <w:lang w:val="uk-UA"/>
        </w:rPr>
        <w:t>50</w:t>
      </w:r>
      <w:r w:rsidRPr="00D926A2">
        <w:rPr>
          <w:lang w:val="uk-UA"/>
        </w:rPr>
        <w:t xml:space="preserve"> тиждень 2024 р. з початку епідемічного сезону.</w:t>
      </w: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1304C3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При проведенні вірусологічних досліджень є лабораторно підтверджені випадки </w:t>
      </w:r>
      <w:proofErr w:type="spellStart"/>
      <w:r w:rsidRPr="00D926A2">
        <w:rPr>
          <w:lang w:val="uk-UA"/>
        </w:rPr>
        <w:t>риновірусної</w:t>
      </w:r>
      <w:proofErr w:type="spellEnd"/>
      <w:r w:rsidRPr="00D926A2">
        <w:rPr>
          <w:lang w:val="uk-UA"/>
        </w:rPr>
        <w:t>, парагрипозної та аденовірусної інфекцій</w:t>
      </w:r>
      <w:r w:rsidR="001304C3">
        <w:rPr>
          <w:lang w:val="uk-UA"/>
        </w:rPr>
        <w:t xml:space="preserve">, а також 3 випадки грипу </w:t>
      </w:r>
      <w:r w:rsidR="001304C3" w:rsidRPr="001304C3">
        <w:rPr>
          <w:lang w:val="uk-UA"/>
        </w:rPr>
        <w:t>А(Н3</w:t>
      </w:r>
      <w:r w:rsidR="001304C3">
        <w:rPr>
          <w:lang w:val="en-US"/>
        </w:rPr>
        <w:t>N</w:t>
      </w:r>
      <w:r w:rsidR="001304C3" w:rsidRPr="001304C3">
        <w:rPr>
          <w:lang w:val="uk-UA"/>
        </w:rPr>
        <w:t>2).</w:t>
      </w: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Відповідальна за випуск - доктор медичних наук, професор медицини Алла </w:t>
      </w:r>
      <w:proofErr w:type="spellStart"/>
      <w:r w:rsidRPr="00D926A2">
        <w:rPr>
          <w:lang w:val="uk-UA"/>
        </w:rPr>
        <w:t>Міроненко</w:t>
      </w:r>
      <w:proofErr w:type="spellEnd"/>
    </w:p>
    <w:p w:rsidR="00703BDF" w:rsidRPr="00D926A2" w:rsidRDefault="00703BDF" w:rsidP="00703BDF">
      <w:pPr>
        <w:spacing w:line="276" w:lineRule="auto"/>
        <w:ind w:firstLine="567"/>
        <w:jc w:val="both"/>
        <w:rPr>
          <w:lang w:val="uk-UA"/>
        </w:rPr>
      </w:pPr>
    </w:p>
    <w:p w:rsidR="00703BDF" w:rsidRPr="00D926A2" w:rsidRDefault="00703BDF" w:rsidP="00703BDF">
      <w:pPr>
        <w:rPr>
          <w:lang w:val="uk-UA"/>
        </w:rPr>
      </w:pPr>
    </w:p>
    <w:p w:rsidR="00703BDF" w:rsidRPr="00CA4497" w:rsidRDefault="00703BDF" w:rsidP="00703BDF">
      <w:pPr>
        <w:rPr>
          <w:lang w:val="uk-UA"/>
        </w:rPr>
      </w:pPr>
    </w:p>
    <w:p w:rsidR="003A3E53" w:rsidRPr="00703BDF" w:rsidRDefault="003A3E53">
      <w:pPr>
        <w:rPr>
          <w:lang w:val="uk-UA"/>
        </w:rPr>
      </w:pPr>
    </w:p>
    <w:sectPr w:rsidR="003A3E53" w:rsidRPr="00703BDF" w:rsidSect="00EE5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DF"/>
    <w:rsid w:val="001304C3"/>
    <w:rsid w:val="003979A7"/>
    <w:rsid w:val="003A3E53"/>
    <w:rsid w:val="003B641F"/>
    <w:rsid w:val="00703BDF"/>
    <w:rsid w:val="00CB459D"/>
    <w:rsid w:val="00DA0E70"/>
    <w:rsid w:val="00F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B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B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3211068465688"/>
          <c:y val="9.1743119266055051E-2"/>
          <c:w val="0.78314283578874244"/>
          <c:h val="0.68807339449541283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</c:numCache>
            </c:numRef>
          </c:val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</c:numCache>
            </c:numRef>
          </c:val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</c:numCache>
            </c:numRef>
          </c:val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</c:numCache>
            </c:numRef>
          </c:val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30336"/>
        <c:axId val="122097664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0.48373981183488801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009856"/>
        <c:axId val="122028416"/>
      </c:lineChart>
      <c:catAx>
        <c:axId val="12200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2028416"/>
        <c:crosses val="autoZero"/>
        <c:auto val="1"/>
        <c:lblAlgn val="ctr"/>
        <c:lblOffset val="100"/>
        <c:noMultiLvlLbl val="0"/>
      </c:catAx>
      <c:valAx>
        <c:axId val="122028416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2009856"/>
        <c:crosses val="autoZero"/>
        <c:crossBetween val="between"/>
        <c:majorUnit val="2"/>
      </c:valAx>
      <c:catAx>
        <c:axId val="12203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22097664"/>
        <c:crosses val="autoZero"/>
        <c:auto val="1"/>
        <c:lblAlgn val="ctr"/>
        <c:lblOffset val="100"/>
        <c:noMultiLvlLbl val="0"/>
      </c:catAx>
      <c:valAx>
        <c:axId val="122097664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2030336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47E-2"/>
          <c:w val="0.81810870516185474"/>
          <c:h val="0.59247666958296874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</c:numCache>
            </c:numRef>
          </c:val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08032"/>
        <c:axId val="122509952"/>
      </c:barChart>
      <c:catAx>
        <c:axId val="122508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2509952"/>
        <c:crosses val="autoZero"/>
        <c:auto val="1"/>
        <c:lblAlgn val="ctr"/>
        <c:lblOffset val="100"/>
        <c:noMultiLvlLbl val="0"/>
      </c:catAx>
      <c:valAx>
        <c:axId val="122509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22508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47"/>
          <c:h val="0.10493438320209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967552"/>
        <c:axId val="122969472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60</c:v>
                </c:pt>
              </c:numCache>
            </c:numRef>
          </c:val>
          <c:smooth val="1"/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024320"/>
        <c:axId val="124025856"/>
      </c:lineChart>
      <c:catAx>
        <c:axId val="122967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2969472"/>
        <c:crosses val="autoZero"/>
        <c:auto val="1"/>
        <c:lblAlgn val="ctr"/>
        <c:lblOffset val="100"/>
        <c:noMultiLvlLbl val="0"/>
      </c:catAx>
      <c:valAx>
        <c:axId val="12296947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2967552"/>
        <c:crosses val="autoZero"/>
        <c:crossBetween val="between"/>
      </c:valAx>
      <c:catAx>
        <c:axId val="124024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4025856"/>
        <c:crosses val="autoZero"/>
        <c:auto val="1"/>
        <c:lblAlgn val="ctr"/>
        <c:lblOffset val="100"/>
        <c:noMultiLvlLbl val="0"/>
      </c:catAx>
      <c:valAx>
        <c:axId val="124025856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24024320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194624"/>
        <c:axId val="129192704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176320"/>
        <c:axId val="129178240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29176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78240"/>
        <c:crosses val="autoZero"/>
        <c:auto val="1"/>
        <c:lblAlgn val="ctr"/>
        <c:lblOffset val="100"/>
        <c:noMultiLvlLbl val="0"/>
      </c:catAx>
      <c:valAx>
        <c:axId val="12917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76320"/>
        <c:crosses val="autoZero"/>
        <c:crossBetween val="between"/>
      </c:valAx>
      <c:valAx>
        <c:axId val="129192704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94624"/>
        <c:crosses val="max"/>
        <c:crossBetween val="between"/>
        <c:majorUnit val="50"/>
      </c:valAx>
      <c:catAx>
        <c:axId val="1291946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9192704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пк</dc:creator>
  <cp:lastModifiedBy>1</cp:lastModifiedBy>
  <cp:revision>7</cp:revision>
  <dcterms:created xsi:type="dcterms:W3CDTF">2024-12-22T21:53:00Z</dcterms:created>
  <dcterms:modified xsi:type="dcterms:W3CDTF">2024-12-23T13:12:00Z</dcterms:modified>
</cp:coreProperties>
</file>